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960" w:hanging="960" w:hangingChars="300"/>
        <w:jc w:val="left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黑体" w:eastAsia="黑体"/>
          <w:sz w:val="32"/>
          <w:szCs w:val="32"/>
        </w:rPr>
        <w:t>5</w:t>
      </w:r>
    </w:p>
    <w:p>
      <w:pPr>
        <w:spacing w:line="600" w:lineRule="exact"/>
        <w:ind w:right="640"/>
        <w:jc w:val="center"/>
        <w:rPr>
          <w:rFonts w:hint="eastAsia" w:ascii="仿宋_GB2312" w:hAnsi="仿宋_GB2312" w:eastAsia="仿宋_GB2312" w:cs="仿宋_GB2312"/>
          <w:b/>
          <w:sz w:val="28"/>
          <w:szCs w:val="32"/>
        </w:rPr>
      </w:pPr>
    </w:p>
    <w:p>
      <w:pPr>
        <w:spacing w:line="600" w:lineRule="exact"/>
        <w:ind w:right="-9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南通市医疗保险特药定点医院、责任医师名单</w:t>
      </w:r>
    </w:p>
    <w:p>
      <w:pPr>
        <w:spacing w:line="600" w:lineRule="exact"/>
        <w:ind w:right="640"/>
        <w:jc w:val="center"/>
        <w:rPr>
          <w:rFonts w:ascii="仿宋_GB2312" w:hAnsi="仿宋_GB2312" w:eastAsia="仿宋_GB2312" w:cs="仿宋_GB2312"/>
          <w:b/>
          <w:sz w:val="28"/>
          <w:szCs w:val="32"/>
        </w:rPr>
      </w:pPr>
    </w:p>
    <w:tbl>
      <w:tblPr>
        <w:tblStyle w:val="3"/>
        <w:tblW w:w="9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3"/>
        <w:gridCol w:w="1753"/>
        <w:gridCol w:w="2694"/>
        <w:gridCol w:w="1259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特药名称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病种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定点医院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科室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责任医师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05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达沙替尼片（施达赛、依尼舒）</w:t>
            </w:r>
          </w:p>
        </w:tc>
        <w:tc>
          <w:tcPr>
            <w:tcW w:w="175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限对伊马替尼耐药或不耐受的慢性髓细胞白血病患者。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南通大学附属医院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血液内科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刘红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南通大学附属医院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血液内科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徐瑞容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南通大学附属医院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血液内科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尤学芬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南通瑞慈医院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肿瘤科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施建国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南通瑞慈医院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儿科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徐孝华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南通瑞慈医院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肿瘤科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杨洪娟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南通市第一人民医院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放疗科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8"/>
                <w:szCs w:val="28"/>
                <w:lang w:bidi="ar"/>
              </w:rPr>
              <w:t>纪宁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81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2018-12-25T08:00:22Z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