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 w:hAnsi="仿宋" w:eastAsia="仿宋"/>
          <w:b w:val="0"/>
        </w:rPr>
      </w:pPr>
      <w:r>
        <w:rPr>
          <w:rFonts w:hint="eastAsia" w:ascii="仿宋" w:hAnsi="仿宋" w:eastAsia="仿宋"/>
          <w:b w:val="0"/>
        </w:rPr>
        <w:t>附件2：</w:t>
      </w:r>
    </w:p>
    <w:p>
      <w:pPr>
        <w:pStyle w:val="2"/>
        <w:spacing w:before="0" w:after="0" w:line="600" w:lineRule="exact"/>
        <w:jc w:val="center"/>
        <w:rPr>
          <w:rFonts w:hint="eastAsia" w:ascii="方正小标宋_GBK" w:hAnsi="黑体" w:eastAsia="方正小标宋_GBK"/>
          <w:b w:val="0"/>
          <w:sz w:val="44"/>
          <w:szCs w:val="44"/>
        </w:rPr>
      </w:pPr>
      <w:bookmarkStart w:id="0" w:name="_GoBack"/>
      <w:r>
        <w:rPr>
          <w:rFonts w:hint="eastAsia" w:ascii="方正小标宋_GBK" w:hAnsi="黑体" w:eastAsia="方正小标宋_GBK"/>
          <w:b w:val="0"/>
          <w:sz w:val="44"/>
          <w:szCs w:val="44"/>
        </w:rPr>
        <w:t>南通市社会保险基金管理中心档案整理</w:t>
      </w:r>
    </w:p>
    <w:p>
      <w:pPr>
        <w:pStyle w:val="2"/>
        <w:spacing w:before="0" w:after="0" w:line="600" w:lineRule="exact"/>
        <w:jc w:val="center"/>
        <w:rPr>
          <w:rFonts w:hint="eastAsia" w:ascii="方正小标宋_GBK" w:hAnsi="黑体" w:eastAsia="方正小标宋_GBK"/>
          <w:b w:val="0"/>
          <w:sz w:val="44"/>
          <w:szCs w:val="44"/>
        </w:rPr>
      </w:pPr>
      <w:r>
        <w:rPr>
          <w:rFonts w:hint="eastAsia" w:ascii="方正小标宋_GBK" w:hAnsi="黑体" w:eastAsia="方正小标宋_GBK"/>
          <w:b w:val="0"/>
          <w:sz w:val="44"/>
          <w:szCs w:val="44"/>
        </w:rPr>
        <w:t>服务项目综合评分办法</w:t>
      </w:r>
      <w:bookmarkEnd w:id="0"/>
    </w:p>
    <w:p>
      <w:pPr>
        <w:ind w:firstLine="640" w:firstLineChars="200"/>
        <w:rPr>
          <w:rFonts w:hint="eastAsia" w:ascii="黑体" w:hAnsi="黑体" w:eastAsia="黑体"/>
          <w:sz w:val="32"/>
          <w:szCs w:val="32"/>
        </w:rPr>
      </w:pPr>
    </w:p>
    <w:p>
      <w:pPr>
        <w:spacing w:line="560" w:lineRule="exact"/>
        <w:ind w:firstLine="640" w:firstLineChars="200"/>
        <w:rPr>
          <w:rFonts w:ascii="方正仿宋_GBK" w:hAnsi="黑体" w:eastAsia="方正仿宋_GBK"/>
          <w:sz w:val="32"/>
          <w:szCs w:val="32"/>
        </w:rPr>
      </w:pPr>
      <w:r>
        <w:rPr>
          <w:rFonts w:hint="eastAsia" w:ascii="黑体" w:hAnsi="黑体" w:eastAsia="黑体"/>
          <w:sz w:val="32"/>
          <w:szCs w:val="32"/>
        </w:rPr>
        <w:t>评标分值分配</w:t>
      </w:r>
      <w:r>
        <w:rPr>
          <w:rFonts w:hint="eastAsia" w:ascii="方正仿宋_GBK" w:hAnsi="黑体" w:eastAsia="方正仿宋_GBK"/>
          <w:sz w:val="32"/>
          <w:szCs w:val="32"/>
        </w:rPr>
        <w:t>：</w:t>
      </w:r>
      <w:r>
        <w:rPr>
          <w:rFonts w:hint="eastAsia" w:ascii="仿宋" w:hAnsi="仿宋" w:eastAsia="仿宋"/>
          <w:sz w:val="32"/>
          <w:szCs w:val="32"/>
        </w:rPr>
        <w:t>商务技术70分，价格30分。</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一、商务技术分：70分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投标人得分为评审小组成员评分的平均分。分值保留小数点后两位。</w:t>
      </w:r>
    </w:p>
    <w:tbl>
      <w:tblPr>
        <w:tblStyle w:val="4"/>
        <w:tblW w:w="9356" w:type="dxa"/>
        <w:jc w:val="center"/>
        <w:tblLayout w:type="fixed"/>
        <w:tblCellMar>
          <w:top w:w="0" w:type="dxa"/>
          <w:left w:w="30" w:type="dxa"/>
          <w:bottom w:w="0" w:type="dxa"/>
          <w:right w:w="30" w:type="dxa"/>
        </w:tblCellMar>
      </w:tblPr>
      <w:tblGrid>
        <w:gridCol w:w="709"/>
        <w:gridCol w:w="1059"/>
        <w:gridCol w:w="742"/>
        <w:gridCol w:w="6846"/>
      </w:tblGrid>
      <w:tr>
        <w:tblPrEx>
          <w:tblCellMar>
            <w:top w:w="0" w:type="dxa"/>
            <w:left w:w="30" w:type="dxa"/>
            <w:bottom w:w="0" w:type="dxa"/>
            <w:right w:w="30" w:type="dxa"/>
          </w:tblCellMar>
        </w:tblPrEx>
        <w:trPr>
          <w:trHeight w:val="622" w:hRule="atLeast"/>
          <w:jc w:val="center"/>
        </w:trPr>
        <w:tc>
          <w:tcPr>
            <w:tcW w:w="709"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20" w:lineRule="exact"/>
              <w:jc w:val="center"/>
              <w:rPr>
                <w:rFonts w:ascii="宋体" w:hAnsi="宋体" w:cs="宋体"/>
                <w:bCs/>
                <w:color w:val="000000"/>
                <w:kern w:val="0"/>
                <w:sz w:val="28"/>
                <w:szCs w:val="28"/>
              </w:rPr>
            </w:pPr>
            <w:r>
              <w:rPr>
                <w:rFonts w:hint="eastAsia" w:ascii="宋体" w:hAnsi="宋体" w:cs="宋体"/>
                <w:bCs/>
                <w:color w:val="000000"/>
                <w:kern w:val="0"/>
                <w:sz w:val="28"/>
                <w:szCs w:val="28"/>
              </w:rPr>
              <w:t>序号</w:t>
            </w:r>
          </w:p>
        </w:tc>
        <w:tc>
          <w:tcPr>
            <w:tcW w:w="10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20" w:lineRule="exact"/>
              <w:jc w:val="center"/>
              <w:rPr>
                <w:rFonts w:ascii="宋体" w:hAnsi="宋体" w:cs="宋体"/>
                <w:bCs/>
                <w:color w:val="000000"/>
                <w:kern w:val="0"/>
                <w:sz w:val="28"/>
                <w:szCs w:val="28"/>
              </w:rPr>
            </w:pPr>
            <w:r>
              <w:rPr>
                <w:rFonts w:hint="eastAsia" w:ascii="宋体" w:hAnsi="宋体" w:cs="宋体"/>
                <w:bCs/>
                <w:color w:val="000000"/>
                <w:kern w:val="0"/>
                <w:sz w:val="28"/>
                <w:szCs w:val="28"/>
              </w:rPr>
              <w:t>评分项</w:t>
            </w:r>
          </w:p>
        </w:tc>
        <w:tc>
          <w:tcPr>
            <w:tcW w:w="74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20" w:lineRule="exact"/>
              <w:jc w:val="center"/>
              <w:rPr>
                <w:rFonts w:ascii="宋体" w:hAnsi="宋体" w:cs="宋体"/>
                <w:bCs/>
                <w:color w:val="000000"/>
                <w:kern w:val="0"/>
                <w:sz w:val="28"/>
                <w:szCs w:val="28"/>
              </w:rPr>
            </w:pPr>
            <w:r>
              <w:rPr>
                <w:rFonts w:hint="eastAsia" w:ascii="宋体" w:hAnsi="宋体" w:cs="宋体"/>
                <w:bCs/>
                <w:color w:val="000000"/>
                <w:kern w:val="0"/>
                <w:sz w:val="28"/>
                <w:szCs w:val="28"/>
              </w:rPr>
              <w:t>分值</w:t>
            </w:r>
          </w:p>
        </w:tc>
        <w:tc>
          <w:tcPr>
            <w:tcW w:w="68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20" w:lineRule="exact"/>
              <w:jc w:val="center"/>
              <w:rPr>
                <w:rFonts w:ascii="宋体" w:hAnsi="宋体" w:cs="宋体"/>
                <w:bCs/>
                <w:color w:val="000000"/>
                <w:kern w:val="0"/>
                <w:sz w:val="28"/>
                <w:szCs w:val="28"/>
              </w:rPr>
            </w:pPr>
            <w:r>
              <w:rPr>
                <w:rFonts w:hint="eastAsia" w:ascii="宋体" w:hAnsi="宋体" w:cs="宋体"/>
                <w:bCs/>
                <w:color w:val="000000"/>
                <w:kern w:val="0"/>
                <w:sz w:val="28"/>
                <w:szCs w:val="28"/>
              </w:rPr>
              <w:t>评审标准</w:t>
            </w:r>
          </w:p>
        </w:tc>
      </w:tr>
      <w:tr>
        <w:tblPrEx>
          <w:tblCellMar>
            <w:top w:w="0" w:type="dxa"/>
            <w:left w:w="30" w:type="dxa"/>
            <w:bottom w:w="0" w:type="dxa"/>
            <w:right w:w="30" w:type="dxa"/>
          </w:tblCellMar>
        </w:tblPrEx>
        <w:trPr>
          <w:trHeight w:val="935" w:hRule="atLeast"/>
          <w:jc w:val="center"/>
        </w:trPr>
        <w:tc>
          <w:tcPr>
            <w:tcW w:w="709"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20" w:lineRule="exact"/>
              <w:jc w:val="center"/>
              <w:rPr>
                <w:rFonts w:ascii="仿宋" w:hAnsi="仿宋" w:eastAsia="仿宋" w:cs="宋体"/>
                <w:sz w:val="28"/>
                <w:szCs w:val="28"/>
              </w:rPr>
            </w:pPr>
            <w:r>
              <w:rPr>
                <w:rFonts w:hint="eastAsia" w:ascii="仿宋" w:hAnsi="仿宋" w:eastAsia="仿宋" w:cs="宋体"/>
                <w:sz w:val="28"/>
                <w:szCs w:val="28"/>
              </w:rPr>
              <w:t>1</w:t>
            </w:r>
          </w:p>
        </w:tc>
        <w:tc>
          <w:tcPr>
            <w:tcW w:w="10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20" w:lineRule="exact"/>
              <w:jc w:val="center"/>
              <w:rPr>
                <w:rFonts w:ascii="仿宋" w:hAnsi="仿宋" w:eastAsia="仿宋" w:cs="宋体"/>
                <w:sz w:val="28"/>
                <w:szCs w:val="28"/>
              </w:rPr>
            </w:pPr>
            <w:r>
              <w:rPr>
                <w:rFonts w:hint="eastAsia" w:ascii="仿宋" w:hAnsi="仿宋" w:eastAsia="仿宋" w:cs="宋体"/>
                <w:sz w:val="28"/>
                <w:szCs w:val="28"/>
              </w:rPr>
              <w:t>技术人员资质</w:t>
            </w:r>
          </w:p>
        </w:tc>
        <w:tc>
          <w:tcPr>
            <w:tcW w:w="74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20" w:lineRule="exact"/>
              <w:jc w:val="center"/>
              <w:rPr>
                <w:rFonts w:ascii="仿宋" w:hAnsi="仿宋" w:eastAsia="仿宋" w:cs="宋体"/>
                <w:sz w:val="28"/>
                <w:szCs w:val="28"/>
              </w:rPr>
            </w:pPr>
            <w:r>
              <w:rPr>
                <w:rFonts w:hint="eastAsia" w:ascii="仿宋" w:hAnsi="仿宋" w:eastAsia="仿宋" w:cs="宋体"/>
                <w:sz w:val="28"/>
                <w:szCs w:val="28"/>
              </w:rPr>
              <w:t>10分</w:t>
            </w:r>
          </w:p>
        </w:tc>
        <w:tc>
          <w:tcPr>
            <w:tcW w:w="68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20" w:lineRule="exact"/>
              <w:jc w:val="left"/>
              <w:rPr>
                <w:rFonts w:ascii="仿宋" w:hAnsi="仿宋" w:eastAsia="仿宋" w:cs="宋体"/>
                <w:sz w:val="28"/>
                <w:szCs w:val="28"/>
              </w:rPr>
            </w:pPr>
            <w:r>
              <w:rPr>
                <w:rFonts w:hint="eastAsia" w:ascii="仿宋" w:hAnsi="仿宋" w:eastAsia="仿宋" w:cs="宋体"/>
                <w:sz w:val="28"/>
                <w:szCs w:val="28"/>
              </w:rPr>
              <w:t>供应商提供档案整理团队成员具有中级及以上职称的每个得4分，具有初级职称的每个得2分，本项最高得10分。</w:t>
            </w:r>
          </w:p>
        </w:tc>
      </w:tr>
      <w:tr>
        <w:tblPrEx>
          <w:tblCellMar>
            <w:top w:w="0" w:type="dxa"/>
            <w:left w:w="30" w:type="dxa"/>
            <w:bottom w:w="0" w:type="dxa"/>
            <w:right w:w="30" w:type="dxa"/>
          </w:tblCellMar>
        </w:tblPrEx>
        <w:trPr>
          <w:trHeight w:val="1101" w:hRule="atLeast"/>
          <w:jc w:val="center"/>
        </w:trPr>
        <w:tc>
          <w:tcPr>
            <w:tcW w:w="709" w:type="dxa"/>
            <w:tcBorders>
              <w:top w:val="single" w:color="000000" w:sz="6" w:space="0"/>
              <w:left w:val="single" w:color="000000" w:sz="6" w:space="0"/>
              <w:right w:val="single" w:color="000000" w:sz="6" w:space="0"/>
            </w:tcBorders>
            <w:vAlign w:val="center"/>
          </w:tcPr>
          <w:p>
            <w:pPr>
              <w:autoSpaceDE w:val="0"/>
              <w:autoSpaceDN w:val="0"/>
              <w:adjustRightInd w:val="0"/>
              <w:spacing w:line="320" w:lineRule="exact"/>
              <w:jc w:val="center"/>
              <w:rPr>
                <w:rFonts w:ascii="仿宋" w:hAnsi="仿宋" w:eastAsia="仿宋" w:cs="宋体"/>
                <w:sz w:val="28"/>
                <w:szCs w:val="28"/>
              </w:rPr>
            </w:pPr>
            <w:r>
              <w:rPr>
                <w:rFonts w:hint="eastAsia" w:ascii="仿宋" w:hAnsi="仿宋" w:eastAsia="仿宋" w:cs="宋体"/>
                <w:sz w:val="28"/>
                <w:szCs w:val="28"/>
              </w:rPr>
              <w:t>2</w:t>
            </w:r>
          </w:p>
        </w:tc>
        <w:tc>
          <w:tcPr>
            <w:tcW w:w="1059" w:type="dxa"/>
            <w:tcBorders>
              <w:top w:val="single" w:color="000000" w:sz="6" w:space="0"/>
              <w:left w:val="single" w:color="000000" w:sz="6" w:space="0"/>
              <w:right w:val="single" w:color="000000" w:sz="6" w:space="0"/>
            </w:tcBorders>
            <w:vAlign w:val="center"/>
          </w:tcPr>
          <w:p>
            <w:pPr>
              <w:autoSpaceDE w:val="0"/>
              <w:autoSpaceDN w:val="0"/>
              <w:adjustRightInd w:val="0"/>
              <w:spacing w:line="320" w:lineRule="exact"/>
              <w:jc w:val="center"/>
              <w:rPr>
                <w:rFonts w:ascii="仿宋" w:hAnsi="仿宋" w:eastAsia="仿宋" w:cs="宋体"/>
                <w:sz w:val="28"/>
                <w:szCs w:val="28"/>
              </w:rPr>
            </w:pPr>
            <w:r>
              <w:rPr>
                <w:rFonts w:hint="eastAsia" w:ascii="仿宋" w:hAnsi="仿宋" w:eastAsia="仿宋" w:cs="宋体"/>
                <w:sz w:val="28"/>
                <w:szCs w:val="28"/>
              </w:rPr>
              <w:t>档案整理业绩</w:t>
            </w:r>
          </w:p>
        </w:tc>
        <w:tc>
          <w:tcPr>
            <w:tcW w:w="742" w:type="dxa"/>
            <w:tcBorders>
              <w:top w:val="single" w:color="000000" w:sz="6" w:space="0"/>
              <w:left w:val="single" w:color="000000" w:sz="6" w:space="0"/>
              <w:bottom w:val="nil"/>
              <w:right w:val="single" w:color="000000" w:sz="6" w:space="0"/>
            </w:tcBorders>
            <w:vAlign w:val="center"/>
          </w:tcPr>
          <w:p>
            <w:pPr>
              <w:autoSpaceDE w:val="0"/>
              <w:autoSpaceDN w:val="0"/>
              <w:adjustRightInd w:val="0"/>
              <w:spacing w:line="320" w:lineRule="exact"/>
              <w:jc w:val="center"/>
              <w:rPr>
                <w:rFonts w:ascii="仿宋" w:hAnsi="仿宋" w:eastAsia="仿宋" w:cs="宋体"/>
                <w:sz w:val="28"/>
                <w:szCs w:val="28"/>
              </w:rPr>
            </w:pPr>
            <w:r>
              <w:rPr>
                <w:rFonts w:hint="eastAsia" w:ascii="仿宋" w:hAnsi="仿宋" w:eastAsia="仿宋" w:cs="宋体"/>
                <w:sz w:val="28"/>
                <w:szCs w:val="28"/>
              </w:rPr>
              <w:t>20分</w:t>
            </w:r>
          </w:p>
        </w:tc>
        <w:tc>
          <w:tcPr>
            <w:tcW w:w="68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20" w:lineRule="exact"/>
              <w:jc w:val="left"/>
              <w:rPr>
                <w:rFonts w:ascii="仿宋" w:hAnsi="仿宋" w:eastAsia="仿宋" w:cs="宋体"/>
                <w:sz w:val="28"/>
                <w:szCs w:val="28"/>
              </w:rPr>
            </w:pPr>
            <w:r>
              <w:rPr>
                <w:rFonts w:hint="eastAsia" w:ascii="仿宋" w:hAnsi="仿宋" w:eastAsia="仿宋" w:cs="宋体"/>
                <w:sz w:val="28"/>
                <w:szCs w:val="28"/>
              </w:rPr>
              <w:t>自2017年1月1日以来提供与党政机关或事业单位签订档案整理合作项目的，每个得4分，最多得20分，提供合同复印件加盖公章。</w:t>
            </w:r>
          </w:p>
        </w:tc>
      </w:tr>
      <w:tr>
        <w:tblPrEx>
          <w:tblCellMar>
            <w:top w:w="0" w:type="dxa"/>
            <w:left w:w="30" w:type="dxa"/>
            <w:bottom w:w="0" w:type="dxa"/>
            <w:right w:w="30" w:type="dxa"/>
          </w:tblCellMar>
        </w:tblPrEx>
        <w:trPr>
          <w:trHeight w:val="518" w:hRule="atLeast"/>
          <w:jc w:val="center"/>
        </w:trPr>
        <w:tc>
          <w:tcPr>
            <w:tcW w:w="709"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20" w:lineRule="exact"/>
              <w:jc w:val="center"/>
              <w:rPr>
                <w:rFonts w:ascii="仿宋" w:hAnsi="仿宋" w:eastAsia="仿宋" w:cs="宋体"/>
                <w:sz w:val="28"/>
                <w:szCs w:val="28"/>
              </w:rPr>
            </w:pPr>
            <w:r>
              <w:rPr>
                <w:rFonts w:hint="eastAsia" w:ascii="仿宋" w:hAnsi="仿宋" w:eastAsia="仿宋" w:cs="宋体"/>
                <w:sz w:val="28"/>
                <w:szCs w:val="28"/>
              </w:rPr>
              <w:t>3</w:t>
            </w:r>
          </w:p>
        </w:tc>
        <w:tc>
          <w:tcPr>
            <w:tcW w:w="10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20" w:lineRule="exact"/>
              <w:jc w:val="center"/>
              <w:rPr>
                <w:rFonts w:ascii="仿宋" w:hAnsi="仿宋" w:eastAsia="仿宋" w:cs="宋体"/>
                <w:sz w:val="28"/>
                <w:szCs w:val="28"/>
              </w:rPr>
            </w:pPr>
            <w:r>
              <w:rPr>
                <w:rFonts w:hint="eastAsia" w:ascii="仿宋" w:hAnsi="仿宋" w:eastAsia="仿宋" w:cs="宋体"/>
                <w:sz w:val="28"/>
                <w:szCs w:val="28"/>
              </w:rPr>
              <w:t>档案整理实施方案</w:t>
            </w:r>
          </w:p>
        </w:tc>
        <w:tc>
          <w:tcPr>
            <w:tcW w:w="74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20" w:lineRule="exact"/>
              <w:jc w:val="center"/>
              <w:rPr>
                <w:rFonts w:ascii="仿宋" w:hAnsi="仿宋" w:eastAsia="仿宋" w:cs="宋体"/>
                <w:sz w:val="28"/>
                <w:szCs w:val="28"/>
              </w:rPr>
            </w:pPr>
            <w:r>
              <w:rPr>
                <w:rFonts w:hint="eastAsia" w:ascii="仿宋" w:hAnsi="仿宋" w:eastAsia="仿宋" w:cs="宋体"/>
                <w:sz w:val="28"/>
                <w:szCs w:val="28"/>
              </w:rPr>
              <w:t>20分</w:t>
            </w:r>
          </w:p>
        </w:tc>
        <w:tc>
          <w:tcPr>
            <w:tcW w:w="684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20" w:lineRule="exact"/>
              <w:jc w:val="left"/>
              <w:rPr>
                <w:rFonts w:ascii="仿宋" w:hAnsi="仿宋" w:eastAsia="仿宋" w:cs="宋体"/>
                <w:sz w:val="28"/>
                <w:szCs w:val="28"/>
              </w:rPr>
            </w:pPr>
            <w:r>
              <w:rPr>
                <w:rFonts w:hint="eastAsia" w:ascii="仿宋" w:hAnsi="仿宋" w:eastAsia="仿宋" w:cs="宋体"/>
                <w:sz w:val="28"/>
                <w:szCs w:val="28"/>
              </w:rPr>
              <w:t>针对本项目的需求，制定详细的整理实施方案，工作流程和工作制度，时间安排符合项目要求，由评委横向比较，优秀的得13-20分，良好得7-12分，一般得1-6分。</w:t>
            </w:r>
          </w:p>
        </w:tc>
      </w:tr>
      <w:tr>
        <w:tblPrEx>
          <w:tblCellMar>
            <w:top w:w="0" w:type="dxa"/>
            <w:left w:w="30" w:type="dxa"/>
            <w:bottom w:w="0" w:type="dxa"/>
            <w:right w:w="30" w:type="dxa"/>
          </w:tblCellMar>
        </w:tblPrEx>
        <w:trPr>
          <w:trHeight w:val="1314" w:hRule="atLeast"/>
          <w:jc w:val="center"/>
        </w:trPr>
        <w:tc>
          <w:tcPr>
            <w:tcW w:w="709" w:type="dxa"/>
            <w:tcBorders>
              <w:top w:val="single" w:color="auto" w:sz="4" w:space="0"/>
              <w:left w:val="single" w:color="auto" w:sz="4" w:space="0"/>
              <w:bottom w:val="single" w:color="auto" w:sz="4" w:space="0"/>
              <w:right w:val="single" w:color="000000" w:sz="6" w:space="0"/>
            </w:tcBorders>
            <w:vAlign w:val="center"/>
          </w:tcPr>
          <w:p>
            <w:pPr>
              <w:autoSpaceDE w:val="0"/>
              <w:autoSpaceDN w:val="0"/>
              <w:adjustRightInd w:val="0"/>
              <w:spacing w:line="320" w:lineRule="exact"/>
              <w:jc w:val="center"/>
              <w:rPr>
                <w:rFonts w:ascii="仿宋" w:hAnsi="仿宋" w:eastAsia="仿宋" w:cs="宋体"/>
                <w:sz w:val="28"/>
                <w:szCs w:val="28"/>
              </w:rPr>
            </w:pPr>
            <w:r>
              <w:rPr>
                <w:rFonts w:hint="eastAsia" w:ascii="仿宋" w:hAnsi="仿宋" w:eastAsia="仿宋" w:cs="宋体"/>
                <w:sz w:val="28"/>
                <w:szCs w:val="28"/>
              </w:rPr>
              <w:t>4</w:t>
            </w:r>
          </w:p>
        </w:tc>
        <w:tc>
          <w:tcPr>
            <w:tcW w:w="1059" w:type="dxa"/>
            <w:tcBorders>
              <w:top w:val="single" w:color="auto" w:sz="4" w:space="0"/>
              <w:left w:val="single" w:color="000000" w:sz="6" w:space="0"/>
              <w:bottom w:val="single" w:color="auto" w:sz="4" w:space="0"/>
              <w:right w:val="single" w:color="000000" w:sz="6" w:space="0"/>
            </w:tcBorders>
            <w:vAlign w:val="center"/>
          </w:tcPr>
          <w:p>
            <w:pPr>
              <w:autoSpaceDE w:val="0"/>
              <w:autoSpaceDN w:val="0"/>
              <w:adjustRightInd w:val="0"/>
              <w:spacing w:line="320" w:lineRule="exact"/>
              <w:jc w:val="center"/>
              <w:rPr>
                <w:rFonts w:ascii="仿宋" w:hAnsi="仿宋" w:eastAsia="仿宋" w:cs="宋体"/>
                <w:sz w:val="28"/>
                <w:szCs w:val="28"/>
              </w:rPr>
            </w:pPr>
            <w:r>
              <w:rPr>
                <w:rFonts w:hint="eastAsia" w:ascii="仿宋" w:hAnsi="仿宋" w:eastAsia="仿宋" w:cs="宋体"/>
                <w:sz w:val="28"/>
                <w:szCs w:val="28"/>
              </w:rPr>
              <w:t>档案整理保密方案</w:t>
            </w:r>
          </w:p>
        </w:tc>
        <w:tc>
          <w:tcPr>
            <w:tcW w:w="742" w:type="dxa"/>
            <w:tcBorders>
              <w:top w:val="single" w:color="auto" w:sz="4" w:space="0"/>
              <w:left w:val="single" w:color="000000" w:sz="6" w:space="0"/>
              <w:bottom w:val="single" w:color="auto" w:sz="4" w:space="0"/>
              <w:right w:val="single" w:color="000000" w:sz="6" w:space="0"/>
            </w:tcBorders>
            <w:vAlign w:val="center"/>
          </w:tcPr>
          <w:p>
            <w:pPr>
              <w:autoSpaceDE w:val="0"/>
              <w:autoSpaceDN w:val="0"/>
              <w:adjustRightInd w:val="0"/>
              <w:spacing w:line="320" w:lineRule="exact"/>
              <w:jc w:val="center"/>
              <w:rPr>
                <w:rFonts w:ascii="仿宋" w:hAnsi="仿宋" w:eastAsia="仿宋" w:cs="宋体"/>
                <w:sz w:val="28"/>
                <w:szCs w:val="28"/>
              </w:rPr>
            </w:pPr>
            <w:r>
              <w:rPr>
                <w:rFonts w:hint="eastAsia" w:ascii="仿宋" w:hAnsi="仿宋" w:eastAsia="仿宋" w:cs="宋体"/>
                <w:sz w:val="28"/>
                <w:szCs w:val="28"/>
              </w:rPr>
              <w:t>10分</w:t>
            </w:r>
          </w:p>
        </w:tc>
        <w:tc>
          <w:tcPr>
            <w:tcW w:w="6846" w:type="dxa"/>
            <w:tcBorders>
              <w:top w:val="single" w:color="auto" w:sz="4" w:space="0"/>
              <w:left w:val="single" w:color="000000" w:sz="6" w:space="0"/>
              <w:bottom w:val="single" w:color="auto" w:sz="4" w:space="0"/>
              <w:right w:val="single" w:color="auto" w:sz="4" w:space="0"/>
            </w:tcBorders>
            <w:vAlign w:val="center"/>
          </w:tcPr>
          <w:p>
            <w:pPr>
              <w:autoSpaceDE w:val="0"/>
              <w:autoSpaceDN w:val="0"/>
              <w:adjustRightInd w:val="0"/>
              <w:spacing w:line="320" w:lineRule="exact"/>
              <w:jc w:val="left"/>
              <w:rPr>
                <w:rFonts w:ascii="仿宋" w:hAnsi="仿宋" w:eastAsia="仿宋" w:cs="宋体"/>
                <w:sz w:val="28"/>
                <w:szCs w:val="28"/>
              </w:rPr>
            </w:pPr>
            <w:r>
              <w:rPr>
                <w:rFonts w:hint="eastAsia" w:ascii="仿宋" w:hAnsi="仿宋" w:eastAsia="仿宋" w:cs="宋体"/>
                <w:sz w:val="28"/>
                <w:szCs w:val="28"/>
              </w:rPr>
              <w:t>针对本项目的保密方案，确保档案信息的安全，由评委横向比较，优秀的得8-10分，良好得5-7分，一般得2-4分。</w:t>
            </w:r>
          </w:p>
        </w:tc>
      </w:tr>
      <w:tr>
        <w:tblPrEx>
          <w:tblCellMar>
            <w:top w:w="0" w:type="dxa"/>
            <w:left w:w="30" w:type="dxa"/>
            <w:bottom w:w="0" w:type="dxa"/>
            <w:right w:w="30" w:type="dxa"/>
          </w:tblCellMar>
        </w:tblPrEx>
        <w:trPr>
          <w:trHeight w:val="1139" w:hRule="atLeast"/>
          <w:jc w:val="center"/>
        </w:trPr>
        <w:tc>
          <w:tcPr>
            <w:tcW w:w="709" w:type="dxa"/>
            <w:tcBorders>
              <w:top w:val="single" w:color="auto" w:sz="4" w:space="0"/>
              <w:left w:val="single" w:color="auto" w:sz="4" w:space="0"/>
              <w:bottom w:val="single" w:color="auto" w:sz="4" w:space="0"/>
              <w:right w:val="single" w:color="000000" w:sz="6" w:space="0"/>
            </w:tcBorders>
            <w:vAlign w:val="center"/>
          </w:tcPr>
          <w:p>
            <w:pPr>
              <w:autoSpaceDE w:val="0"/>
              <w:autoSpaceDN w:val="0"/>
              <w:adjustRightInd w:val="0"/>
              <w:spacing w:line="320" w:lineRule="exact"/>
              <w:jc w:val="center"/>
              <w:rPr>
                <w:rFonts w:ascii="仿宋" w:hAnsi="仿宋" w:eastAsia="仿宋" w:cs="宋体"/>
                <w:sz w:val="28"/>
                <w:szCs w:val="28"/>
              </w:rPr>
            </w:pPr>
            <w:r>
              <w:rPr>
                <w:rFonts w:hint="eastAsia" w:ascii="仿宋" w:hAnsi="仿宋" w:eastAsia="仿宋" w:cs="宋体"/>
                <w:sz w:val="28"/>
                <w:szCs w:val="28"/>
              </w:rPr>
              <w:t>5</w:t>
            </w:r>
          </w:p>
        </w:tc>
        <w:tc>
          <w:tcPr>
            <w:tcW w:w="1059" w:type="dxa"/>
            <w:tcBorders>
              <w:top w:val="single" w:color="auto" w:sz="4" w:space="0"/>
              <w:left w:val="single" w:color="000000" w:sz="6" w:space="0"/>
              <w:bottom w:val="single" w:color="auto" w:sz="4" w:space="0"/>
              <w:right w:val="single" w:color="000000" w:sz="6" w:space="0"/>
            </w:tcBorders>
            <w:vAlign w:val="center"/>
          </w:tcPr>
          <w:p>
            <w:pPr>
              <w:autoSpaceDE w:val="0"/>
              <w:autoSpaceDN w:val="0"/>
              <w:adjustRightInd w:val="0"/>
              <w:spacing w:line="320" w:lineRule="exact"/>
              <w:jc w:val="center"/>
              <w:rPr>
                <w:rFonts w:ascii="仿宋" w:hAnsi="仿宋" w:eastAsia="仿宋" w:cs="宋体"/>
                <w:sz w:val="28"/>
                <w:szCs w:val="28"/>
              </w:rPr>
            </w:pPr>
            <w:r>
              <w:rPr>
                <w:rFonts w:hint="eastAsia" w:ascii="仿宋" w:hAnsi="仿宋" w:eastAsia="仿宋" w:cs="宋体"/>
                <w:sz w:val="28"/>
                <w:szCs w:val="28"/>
              </w:rPr>
              <w:t>档案整理服务承诺</w:t>
            </w:r>
          </w:p>
        </w:tc>
        <w:tc>
          <w:tcPr>
            <w:tcW w:w="742" w:type="dxa"/>
            <w:tcBorders>
              <w:top w:val="single" w:color="auto" w:sz="4" w:space="0"/>
              <w:left w:val="single" w:color="000000" w:sz="6" w:space="0"/>
              <w:bottom w:val="single" w:color="auto" w:sz="4" w:space="0"/>
              <w:right w:val="single" w:color="000000" w:sz="6" w:space="0"/>
            </w:tcBorders>
            <w:vAlign w:val="center"/>
          </w:tcPr>
          <w:p>
            <w:pPr>
              <w:autoSpaceDE w:val="0"/>
              <w:autoSpaceDN w:val="0"/>
              <w:adjustRightInd w:val="0"/>
              <w:spacing w:line="320" w:lineRule="exact"/>
              <w:jc w:val="center"/>
              <w:rPr>
                <w:rFonts w:ascii="仿宋" w:hAnsi="仿宋" w:eastAsia="仿宋" w:cs="宋体"/>
                <w:sz w:val="28"/>
                <w:szCs w:val="28"/>
              </w:rPr>
            </w:pPr>
            <w:r>
              <w:rPr>
                <w:rFonts w:hint="eastAsia" w:ascii="仿宋" w:hAnsi="仿宋" w:eastAsia="仿宋" w:cs="宋体"/>
                <w:sz w:val="28"/>
                <w:szCs w:val="28"/>
              </w:rPr>
              <w:t>10分</w:t>
            </w:r>
          </w:p>
        </w:tc>
        <w:tc>
          <w:tcPr>
            <w:tcW w:w="6846" w:type="dxa"/>
            <w:tcBorders>
              <w:top w:val="single" w:color="auto" w:sz="4" w:space="0"/>
              <w:left w:val="single" w:color="000000" w:sz="6" w:space="0"/>
              <w:bottom w:val="single" w:color="auto" w:sz="4" w:space="0"/>
              <w:right w:val="single" w:color="auto" w:sz="4" w:space="0"/>
            </w:tcBorders>
            <w:vAlign w:val="center"/>
          </w:tcPr>
          <w:p>
            <w:pPr>
              <w:autoSpaceDE w:val="0"/>
              <w:autoSpaceDN w:val="0"/>
              <w:adjustRightInd w:val="0"/>
              <w:spacing w:line="320" w:lineRule="exact"/>
              <w:jc w:val="left"/>
              <w:rPr>
                <w:rFonts w:ascii="仿宋" w:hAnsi="仿宋" w:eastAsia="仿宋" w:cs="宋体"/>
                <w:sz w:val="28"/>
                <w:szCs w:val="28"/>
              </w:rPr>
            </w:pPr>
            <w:r>
              <w:rPr>
                <w:rFonts w:hint="eastAsia" w:ascii="仿宋" w:hAnsi="仿宋" w:eastAsia="仿宋" w:cs="宋体"/>
                <w:sz w:val="28"/>
                <w:szCs w:val="28"/>
              </w:rPr>
              <w:t>根据供应商的承诺服务内容，由评委横向比较，优秀的得8-10分，良好得5-7分，一般得2-4分。</w:t>
            </w:r>
          </w:p>
        </w:tc>
      </w:tr>
    </w:tbl>
    <w:p>
      <w:pPr>
        <w:spacing w:line="560" w:lineRule="exact"/>
        <w:ind w:firstLine="640" w:firstLineChars="200"/>
        <w:rPr>
          <w:rFonts w:ascii="黑体" w:hAnsi="黑体" w:eastAsia="黑体"/>
          <w:sz w:val="32"/>
          <w:szCs w:val="32"/>
        </w:rPr>
      </w:pPr>
      <w:r>
        <w:rPr>
          <w:rFonts w:hint="eastAsia" w:ascii="黑体" w:hAnsi="黑体" w:eastAsia="黑体"/>
          <w:sz w:val="32"/>
          <w:szCs w:val="32"/>
        </w:rPr>
        <w:t>二、价格分：30分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综合评分法中的价格分统一采用低价优先法计算，即满足招标文件要求，且报价最低的供应商的价格为基准价，其价格分为满分。其他供应商的价格分统一按照下列公式计算：</w:t>
      </w:r>
    </w:p>
    <w:p>
      <w:pPr>
        <w:spacing w:line="560" w:lineRule="exact"/>
        <w:rPr>
          <w:rFonts w:ascii="仿宋" w:hAnsi="仿宋" w:eastAsia="仿宋"/>
          <w:sz w:val="32"/>
          <w:szCs w:val="32"/>
        </w:rPr>
      </w:pPr>
      <w:r>
        <w:rPr>
          <w:rFonts w:hint="eastAsia" w:ascii="仿宋" w:hAnsi="仿宋" w:eastAsia="仿宋"/>
          <w:sz w:val="32"/>
          <w:szCs w:val="32"/>
        </w:rPr>
        <w:t>投标人报价得分=（基准价/投标人报价）×价格权值×100。</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评审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小组应当将其作为无效投标处理。</w:t>
      </w:r>
    </w:p>
    <w:p>
      <w:pPr>
        <w:rPr>
          <w:rFonts w:ascii="仿宋" w:hAnsi="仿宋" w:eastAsia="仿宋"/>
        </w:rPr>
      </w:pPr>
    </w:p>
    <w:p>
      <w:pPr>
        <w:rPr>
          <w:rFonts w:ascii="仿宋" w:hAnsi="仿宋" w:eastAsia="仿宋"/>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rPr>
    </w:pPr>
    <w:r>
      <w:rPr>
        <w:sz w:val="24"/>
      </w:rPr>
      <w:t>—</w:t>
    </w:r>
    <w:sdt>
      <w:sdtPr>
        <w:rPr>
          <w:sz w:val="24"/>
        </w:rPr>
        <w:id w:val="541522658"/>
        <w:docPartObj>
          <w:docPartGallery w:val="autotext"/>
        </w:docPartObj>
      </w:sdtPr>
      <w:sdtEndPr>
        <w:rPr>
          <w:sz w:val="24"/>
        </w:rPr>
      </w:sdtEndPr>
      <w:sdtContent>
        <w:r>
          <w:rPr>
            <w:sz w:val="24"/>
          </w:rPr>
          <w:fldChar w:fldCharType="begin"/>
        </w:r>
        <w:r>
          <w:rPr>
            <w:sz w:val="24"/>
          </w:rPr>
          <w:instrText xml:space="preserve"> PAGE   \* MERGEFORMAT </w:instrText>
        </w:r>
        <w:r>
          <w:rPr>
            <w:sz w:val="24"/>
          </w:rPr>
          <w:fldChar w:fldCharType="separate"/>
        </w:r>
        <w:r>
          <w:rPr>
            <w:sz w:val="24"/>
            <w:lang w:val="zh-CN"/>
          </w:rPr>
          <w:t>2</w:t>
        </w:r>
        <w:r>
          <w:rPr>
            <w:sz w:val="24"/>
          </w:rPr>
          <w:fldChar w:fldCharType="end"/>
        </w:r>
        <w:r>
          <w:rPr>
            <w:sz w:val="24"/>
          </w:rPr>
          <w:t>—</w:t>
        </w:r>
      </w:sdtContent>
    </w:sdt>
  </w:p>
  <w:p>
    <w:pPr>
      <w:pStyle w:val="3"/>
      <w:rPr>
        <w:sz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7A3AD4"/>
    <w:rsid w:val="047A3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2021-10-25T05:47:00Z</dcterms:created>
  <dc:creator>蓉蓉</dc:creator>
  <cp:lastModifiedBy>蓉蓉</cp:lastModifiedBy>
  <dcterms:modified xsi:type="dcterms:W3CDTF">2021-10-25T05:48:09Z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508C1C81B80549189FBF9D947DBA7E43</vt:lpwstr>
  </property>
</Properties>
</file>