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overflowPunct w:val="0"/>
        <w:adjustRightInd/>
        <w:textAlignment w:val="auto"/>
        <w:rPr>
          <w:rFonts w:ascii="仿宋_GB2312" w:hAnsi="宋体" w:eastAsia="仿宋_GB2312" w:cs="Times New Roman"/>
        </w:rPr>
      </w:pPr>
    </w:p>
    <w:p>
      <w:pPr>
        <w:overflowPunct w:val="0"/>
        <w:rPr>
          <w:rFonts w:ascii="仿宋_GB2312" w:hAnsi="宋体" w:eastAsia="仿宋_GB2312"/>
        </w:rPr>
      </w:pPr>
    </w:p>
    <w:p>
      <w:pPr>
        <w:tabs>
          <w:tab w:val="left" w:pos="6300"/>
        </w:tabs>
        <w:snapToGrid w:val="0"/>
        <w:spacing w:line="300" w:lineRule="auto"/>
        <w:jc w:val="center"/>
        <w:rPr>
          <w:rFonts w:ascii="宋体" w:hAnsi="宋体" w:eastAsia="宋体"/>
          <w:w w:val="80"/>
          <w:sz w:val="36"/>
          <w:szCs w:val="36"/>
        </w:rPr>
      </w:pPr>
    </w:p>
    <w:p>
      <w:pPr>
        <w:pStyle w:val="2"/>
        <w:spacing w:before="120"/>
        <w:ind w:firstLine="600"/>
        <w:rPr>
          <w:rFonts w:cs="Times New Roman"/>
        </w:rPr>
      </w:pPr>
    </w:p>
    <w:p>
      <w:pPr>
        <w:tabs>
          <w:tab w:val="left" w:pos="6300"/>
        </w:tabs>
        <w:snapToGrid w:val="0"/>
        <w:spacing w:line="300" w:lineRule="auto"/>
        <w:jc w:val="center"/>
        <w:rPr>
          <w:rFonts w:ascii="方正小标宋_GBK" w:hAnsi="宋体" w:eastAsia="方正小标宋_GBK" w:cs="方正小标宋_GBK"/>
          <w:w w:val="80"/>
          <w:sz w:val="56"/>
          <w:szCs w:val="56"/>
        </w:rPr>
      </w:pPr>
      <w:r>
        <w:rPr>
          <w:rFonts w:hint="eastAsia" w:ascii="方正小标宋_GBK" w:hAnsi="宋体" w:eastAsia="方正小标宋_GBK" w:cs="方正小标宋_GBK"/>
          <w:w w:val="80"/>
          <w:sz w:val="56"/>
          <w:szCs w:val="56"/>
        </w:rPr>
        <w:t>南通人力资源大厦标识标牌</w:t>
      </w:r>
    </w:p>
    <w:p>
      <w:pPr>
        <w:tabs>
          <w:tab w:val="left" w:pos="6300"/>
        </w:tabs>
        <w:snapToGrid w:val="0"/>
        <w:spacing w:line="300" w:lineRule="auto"/>
        <w:jc w:val="center"/>
        <w:rPr>
          <w:rFonts w:ascii="方正小标宋_GBK" w:hAnsi="宋体" w:eastAsia="方正小标宋_GBK"/>
          <w:w w:val="80"/>
          <w:sz w:val="56"/>
          <w:szCs w:val="56"/>
        </w:rPr>
      </w:pPr>
      <w:r>
        <w:rPr>
          <w:rFonts w:hint="eastAsia" w:ascii="方正小标宋_GBK" w:hAnsi="宋体" w:eastAsia="方正小标宋_GBK" w:cs="方正小标宋_GBK"/>
          <w:w w:val="80"/>
          <w:sz w:val="56"/>
          <w:szCs w:val="56"/>
        </w:rPr>
        <w:t>设计制作安装项目</w:t>
      </w:r>
    </w:p>
    <w:p>
      <w:pPr>
        <w:tabs>
          <w:tab w:val="left" w:pos="6300"/>
        </w:tabs>
        <w:snapToGrid w:val="0"/>
        <w:spacing w:line="300" w:lineRule="auto"/>
        <w:rPr>
          <w:rFonts w:ascii="Arial" w:hAnsi="Arial" w:eastAsia="黑体"/>
          <w:w w:val="80"/>
          <w:sz w:val="84"/>
          <w:szCs w:val="84"/>
        </w:rPr>
      </w:pPr>
    </w:p>
    <w:p>
      <w:pPr>
        <w:tabs>
          <w:tab w:val="left" w:pos="1050"/>
          <w:tab w:val="right" w:leader="dot" w:pos="9402"/>
        </w:tabs>
        <w:spacing w:line="1600" w:lineRule="exact"/>
        <w:jc w:val="center"/>
        <w:rPr>
          <w:rFonts w:ascii="方正小标宋简体" w:hAnsi="Calibri" w:eastAsia="方正小标宋简体"/>
          <w:sz w:val="72"/>
          <w:szCs w:val="72"/>
        </w:rPr>
      </w:pPr>
      <w:r>
        <w:rPr>
          <w:rFonts w:hint="eastAsia" w:ascii="方正小标宋简体" w:hAnsi="宋体" w:eastAsia="方正小标宋简体" w:cs="方正小标宋简体"/>
          <w:w w:val="80"/>
          <w:sz w:val="72"/>
          <w:szCs w:val="72"/>
        </w:rPr>
        <w:t>竞争性磋商文件</w:t>
      </w:r>
    </w:p>
    <w:p>
      <w:pPr>
        <w:jc w:val="center"/>
        <w:rPr>
          <w:rFonts w:ascii="仿宋_GB2312" w:hAnsi="Calibri" w:eastAsia="仿宋_GB2312"/>
          <w:b/>
          <w:bCs/>
          <w:sz w:val="44"/>
          <w:szCs w:val="44"/>
        </w:rPr>
      </w:pPr>
    </w:p>
    <w:p>
      <w:pPr>
        <w:jc w:val="center"/>
        <w:rPr>
          <w:rFonts w:ascii="仿宋_GB2312" w:hAnsi="Calibri" w:eastAsia="仿宋_GB2312"/>
          <w:b/>
          <w:bCs/>
          <w:sz w:val="44"/>
          <w:szCs w:val="44"/>
        </w:rPr>
      </w:pPr>
    </w:p>
    <w:p>
      <w:pPr>
        <w:pStyle w:val="2"/>
      </w:pPr>
    </w:p>
    <w:p>
      <w:pPr>
        <w:jc w:val="center"/>
        <w:rPr>
          <w:rFonts w:ascii="仿宋_GB2312" w:hAnsi="Calibri" w:eastAsia="仿宋_GB2312"/>
          <w:b/>
          <w:bCs/>
          <w:sz w:val="44"/>
          <w:szCs w:val="44"/>
        </w:rPr>
      </w:pP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2"/>
        <w:spacing w:before="120"/>
        <w:ind w:firstLine="0" w:firstLineChars="0"/>
        <w:rPr>
          <w:rFonts w:ascii="宋体" w:hAnsi="宋体" w:eastAsia="宋体"/>
          <w:kern w:val="0"/>
          <w:sz w:val="32"/>
          <w:szCs w:val="32"/>
        </w:rPr>
      </w:pPr>
    </w:p>
    <w:p>
      <w:pPr>
        <w:snapToGrid w:val="0"/>
        <w:spacing w:line="360" w:lineRule="auto"/>
        <w:jc w:val="center"/>
        <w:rPr>
          <w:rFonts w:ascii="方正楷体_GBK" w:hAnsi="宋体" w:eastAsia="方正楷体_GBK"/>
          <w:kern w:val="0"/>
          <w:sz w:val="32"/>
          <w:szCs w:val="32"/>
        </w:rPr>
      </w:pPr>
      <w:r>
        <w:rPr>
          <w:rFonts w:hint="eastAsia" w:ascii="方正楷体_GBK" w:hAnsi="宋体" w:eastAsia="方正楷体_GBK" w:cs="方正楷体_GBK"/>
          <w:kern w:val="0"/>
          <w:sz w:val="32"/>
          <w:szCs w:val="32"/>
        </w:rPr>
        <w:t>采购人：南通市人力资源服务中心</w:t>
      </w:r>
    </w:p>
    <w:p>
      <w:pPr>
        <w:snapToGrid w:val="0"/>
        <w:spacing w:line="360" w:lineRule="auto"/>
        <w:jc w:val="center"/>
        <w:rPr>
          <w:rFonts w:ascii="方正楷体_GBK" w:hAnsi="宋体" w:eastAsia="方正楷体_GBK"/>
          <w:kern w:val="0"/>
          <w:sz w:val="32"/>
          <w:szCs w:val="32"/>
        </w:rPr>
      </w:pPr>
      <w:r>
        <w:rPr>
          <w:rFonts w:hint="eastAsia" w:ascii="方正楷体_GBK" w:hAnsi="宋体" w:eastAsia="方正楷体_GBK" w:cs="方正楷体_GBK"/>
          <w:kern w:val="0"/>
          <w:sz w:val="32"/>
          <w:szCs w:val="32"/>
        </w:rPr>
        <w:t>2021年</w:t>
      </w:r>
      <w:r>
        <w:rPr>
          <w:rFonts w:hint="eastAsia" w:ascii="方正楷体_GBK" w:hAnsi="宋体" w:eastAsia="方正楷体_GBK" w:cs="方正楷体_GBK"/>
          <w:kern w:val="0"/>
          <w:sz w:val="32"/>
          <w:szCs w:val="32"/>
          <w:lang w:val="en-US" w:eastAsia="zh-CN"/>
        </w:rPr>
        <w:t>6</w:t>
      </w:r>
      <w:r>
        <w:rPr>
          <w:rFonts w:hint="eastAsia" w:ascii="方正楷体_GBK" w:hAnsi="宋体" w:eastAsia="方正楷体_GBK" w:cs="方正楷体_GBK"/>
          <w:kern w:val="0"/>
          <w:sz w:val="32"/>
          <w:szCs w:val="32"/>
        </w:rPr>
        <w:t>月</w:t>
      </w:r>
      <w:r>
        <w:rPr>
          <w:rFonts w:hint="eastAsia" w:ascii="方正楷体_GBK" w:hAnsi="宋体" w:eastAsia="方正楷体_GBK" w:cs="方正楷体_GBK"/>
          <w:kern w:val="0"/>
          <w:sz w:val="32"/>
          <w:szCs w:val="32"/>
          <w:lang w:val="en-US" w:eastAsia="zh-CN"/>
        </w:rPr>
        <w:t>9</w:t>
      </w:r>
      <w:r>
        <w:rPr>
          <w:rFonts w:hint="eastAsia" w:ascii="方正楷体_GBK" w:hAnsi="宋体" w:eastAsia="方正楷体_GBK" w:cs="方正楷体_GBK"/>
          <w:kern w:val="0"/>
          <w:sz w:val="32"/>
          <w:szCs w:val="32"/>
        </w:rPr>
        <w:t>日</w:t>
      </w:r>
    </w:p>
    <w:p>
      <w:pPr>
        <w:tabs>
          <w:tab w:val="left" w:pos="1050"/>
          <w:tab w:val="right" w:leader="dot" w:pos="9402"/>
        </w:tabs>
        <w:spacing w:line="520" w:lineRule="exact"/>
        <w:jc w:val="center"/>
        <w:rPr>
          <w:rFonts w:ascii="方正楷体_GBK" w:hAnsi="宋体" w:eastAsia="方正楷体_GBK"/>
          <w:kern w:val="0"/>
          <w:sz w:val="32"/>
          <w:szCs w:val="32"/>
        </w:rPr>
      </w:pPr>
      <w:r>
        <w:rPr>
          <w:rFonts w:ascii="方正楷体_GBK" w:hAnsi="宋体" w:eastAsia="方正楷体_GBK"/>
          <w:kern w:val="0"/>
          <w:sz w:val="32"/>
          <w:szCs w:val="32"/>
        </w:rPr>
        <w:br w:type="page"/>
      </w:r>
    </w:p>
    <w:p>
      <w:pPr>
        <w:pStyle w:val="2"/>
        <w:spacing w:before="120"/>
        <w:ind w:firstLine="600"/>
        <w:sectPr>
          <w:footerReference r:id="rId3" w:type="first"/>
          <w:pgSz w:w="11906" w:h="16838"/>
          <w:pgMar w:top="1276" w:right="1474" w:bottom="709" w:left="1418" w:header="851" w:footer="448" w:gutter="0"/>
          <w:pgNumType w:start="1"/>
          <w:cols w:space="720" w:num="1"/>
          <w:titlePg/>
          <w:docGrid w:linePitch="380" w:charSpace="-5735"/>
        </w:sectPr>
      </w:pPr>
    </w:p>
    <w:p>
      <w:pPr>
        <w:tabs>
          <w:tab w:val="left" w:pos="1050"/>
          <w:tab w:val="right" w:leader="dot" w:pos="9402"/>
        </w:tabs>
        <w:spacing w:line="520" w:lineRule="exact"/>
        <w:outlineLvl w:val="0"/>
        <w:rPr>
          <w:rFonts w:ascii="宋体" w:hAnsi="宋体" w:eastAsia="宋体"/>
          <w:b/>
          <w:bCs/>
          <w:w w:val="80"/>
          <w:sz w:val="44"/>
          <w:szCs w:val="44"/>
        </w:rPr>
      </w:pPr>
    </w:p>
    <w:p>
      <w:pPr>
        <w:tabs>
          <w:tab w:val="left" w:pos="1050"/>
          <w:tab w:val="right" w:leader="dot" w:pos="9402"/>
        </w:tabs>
        <w:spacing w:line="520" w:lineRule="exact"/>
        <w:jc w:val="center"/>
        <w:outlineLvl w:val="0"/>
        <w:rPr>
          <w:rFonts w:ascii="宋体" w:hAnsi="宋体" w:eastAsia="宋体"/>
          <w:b/>
          <w:bCs/>
          <w:w w:val="80"/>
          <w:sz w:val="44"/>
          <w:szCs w:val="44"/>
        </w:rPr>
      </w:pPr>
      <w:r>
        <w:rPr>
          <w:rFonts w:hint="eastAsia" w:ascii="宋体" w:hAnsi="宋体" w:eastAsia="宋体" w:cs="宋体"/>
          <w:b/>
          <w:bCs/>
          <w:w w:val="80"/>
          <w:sz w:val="44"/>
          <w:szCs w:val="44"/>
        </w:rPr>
        <w:t>目</w:t>
      </w:r>
      <w:r>
        <w:rPr>
          <w:rFonts w:hint="eastAsia" w:ascii="宋体" w:hAnsi="宋体" w:eastAsia="宋体" w:cs="宋体"/>
          <w:b/>
          <w:bCs/>
          <w:w w:val="80"/>
          <w:sz w:val="44"/>
          <w:szCs w:val="44"/>
          <w:lang w:val="en-US" w:eastAsia="zh-CN"/>
        </w:rPr>
        <w:t xml:space="preserve">  </w:t>
      </w:r>
      <w:r>
        <w:rPr>
          <w:rFonts w:hint="eastAsia" w:ascii="宋体" w:hAnsi="宋体" w:eastAsia="宋体" w:cs="宋体"/>
          <w:b/>
          <w:bCs/>
          <w:w w:val="80"/>
          <w:sz w:val="44"/>
          <w:szCs w:val="44"/>
        </w:rPr>
        <w:t>录</w:t>
      </w:r>
    </w:p>
    <w:p>
      <w:pPr>
        <w:pStyle w:val="9"/>
        <w:tabs>
          <w:tab w:val="left" w:pos="5990"/>
        </w:tabs>
        <w:overflowPunct w:val="0"/>
        <w:ind w:firstLine="0"/>
        <w:rPr>
          <w:rFonts w:ascii="仿宋_GB2312" w:hAnsi="宋体" w:eastAsia="仿宋_GB2312"/>
          <w:sz w:val="30"/>
          <w:szCs w:val="30"/>
        </w:rPr>
      </w:pPr>
      <w:r>
        <w:rPr>
          <w:rFonts w:ascii="仿宋_GB2312" w:hAnsi="宋体" w:eastAsia="仿宋_GB2312"/>
          <w:sz w:val="30"/>
          <w:szCs w:val="30"/>
        </w:rPr>
        <w:tab/>
      </w:r>
    </w:p>
    <w:p>
      <w:pPr>
        <w:pStyle w:val="32"/>
        <w:tabs>
          <w:tab w:val="right" w:leader="dot" w:pos="9072"/>
        </w:tabs>
        <w:spacing w:line="1200" w:lineRule="exact"/>
        <w:ind w:right="-2"/>
        <w:jc w:val="center"/>
        <w:rPr>
          <w:rFonts w:ascii="宋体" w:hAnsi="宋体" w:eastAsia="宋体"/>
          <w:sz w:val="30"/>
          <w:szCs w:val="30"/>
        </w:rPr>
      </w:pPr>
      <w:r>
        <w:rPr>
          <w:rFonts w:eastAsia="仿宋_GB2312"/>
          <w:b/>
          <w:bCs/>
          <w:sz w:val="30"/>
          <w:szCs w:val="30"/>
        </w:rPr>
        <w:fldChar w:fldCharType="begin"/>
      </w:r>
      <w:r>
        <w:rPr>
          <w:rFonts w:eastAsia="仿宋_GB2312"/>
          <w:b/>
          <w:bCs/>
          <w:sz w:val="30"/>
          <w:szCs w:val="30"/>
        </w:rPr>
        <w:instrText xml:space="preserve"> TOC \o "1-1"</w:instrText>
      </w:r>
      <w:r>
        <w:rPr>
          <w:rFonts w:eastAsia="仿宋_GB2312"/>
          <w:b/>
          <w:bCs/>
          <w:sz w:val="30"/>
          <w:szCs w:val="30"/>
        </w:rPr>
        <w:fldChar w:fldCharType="separate"/>
      </w:r>
      <w:r>
        <w:rPr>
          <w:rFonts w:hint="eastAsia" w:ascii="宋体" w:hAnsi="宋体" w:eastAsia="宋体" w:cs="宋体"/>
          <w:sz w:val="30"/>
          <w:szCs w:val="30"/>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竞争性磋商公告</w:t>
      </w:r>
      <w:r>
        <w:rPr>
          <w:rFonts w:ascii="宋体" w:hAnsi="宋体" w:eastAsia="宋体"/>
          <w:sz w:val="30"/>
          <w:szCs w:val="30"/>
        </w:rPr>
        <w:tab/>
      </w:r>
      <w:r>
        <w:rPr>
          <w:rFonts w:ascii="宋体" w:hAnsi="宋体" w:eastAsia="宋体" w:cs="宋体"/>
          <w:sz w:val="30"/>
          <w:szCs w:val="30"/>
        </w:rPr>
        <w:t>1</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供应商须知</w:t>
      </w:r>
      <w:r>
        <w:rPr>
          <w:rFonts w:ascii="宋体" w:hAnsi="宋体" w:eastAsia="宋体"/>
          <w:sz w:val="30"/>
          <w:szCs w:val="30"/>
        </w:rPr>
        <w:tab/>
      </w:r>
      <w:r>
        <w:rPr>
          <w:rFonts w:ascii="宋体" w:hAnsi="宋体" w:eastAsia="宋体" w:cs="宋体"/>
          <w:sz w:val="30"/>
          <w:szCs w:val="30"/>
        </w:rPr>
        <w:t>2</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第三章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项目需求</w:t>
      </w:r>
      <w:r>
        <w:rPr>
          <w:rFonts w:ascii="宋体" w:hAnsi="宋体" w:eastAsia="宋体"/>
          <w:sz w:val="30"/>
          <w:szCs w:val="30"/>
        </w:rPr>
        <w:tab/>
      </w:r>
      <w:r>
        <w:rPr>
          <w:rFonts w:hint="eastAsia" w:ascii="宋体" w:hAnsi="宋体" w:eastAsia="宋体" w:cs="宋体"/>
          <w:sz w:val="30"/>
          <w:szCs w:val="30"/>
        </w:rPr>
        <w:t>7</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第四章</w:t>
      </w:r>
      <w:r>
        <w:rPr>
          <w:rFonts w:hint="eastAsia" w:ascii="宋体" w:hAnsi="宋体" w:eastAsia="宋体" w:cs="宋体"/>
          <w:sz w:val="30"/>
          <w:szCs w:val="30"/>
          <w:lang w:val="en-US" w:eastAsia="zh-CN"/>
        </w:rPr>
        <w:t xml:space="preserve"> 资格审查及</w:t>
      </w:r>
      <w:r>
        <w:rPr>
          <w:rFonts w:hint="eastAsia" w:ascii="宋体" w:hAnsi="宋体" w:eastAsia="宋体" w:cs="宋体"/>
          <w:sz w:val="30"/>
          <w:szCs w:val="30"/>
        </w:rPr>
        <w:t>评审程序</w:t>
      </w:r>
      <w:r>
        <w:rPr>
          <w:rFonts w:ascii="宋体" w:hAnsi="宋体" w:eastAsia="宋体"/>
          <w:sz w:val="30"/>
          <w:szCs w:val="30"/>
        </w:rPr>
        <w:tab/>
      </w:r>
      <w:r>
        <w:rPr>
          <w:rFonts w:ascii="宋体" w:hAnsi="宋体" w:eastAsia="宋体" w:cs="宋体"/>
          <w:sz w:val="30"/>
          <w:szCs w:val="30"/>
        </w:rPr>
        <w:t>11</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第五章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合同授予及主要条款</w:t>
      </w:r>
      <w:r>
        <w:rPr>
          <w:rFonts w:ascii="宋体" w:hAnsi="宋体" w:eastAsia="宋体"/>
          <w:sz w:val="30"/>
          <w:szCs w:val="30"/>
        </w:rPr>
        <w:tab/>
      </w:r>
      <w:r>
        <w:rPr>
          <w:rFonts w:hint="eastAsia" w:ascii="宋体" w:hAnsi="宋体" w:eastAsia="宋体" w:cs="宋体"/>
          <w:sz w:val="30"/>
          <w:szCs w:val="30"/>
        </w:rPr>
        <w:t>18</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第六章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履约验收及付款</w:t>
      </w:r>
      <w:r>
        <w:rPr>
          <w:rFonts w:ascii="宋体" w:hAnsi="宋体" w:eastAsia="宋体"/>
          <w:sz w:val="30"/>
          <w:szCs w:val="30"/>
        </w:rPr>
        <w:tab/>
      </w:r>
      <w:r>
        <w:rPr>
          <w:rFonts w:hint="eastAsia" w:ascii="宋体" w:hAnsi="宋体" w:eastAsia="宋体" w:cs="宋体"/>
          <w:sz w:val="30"/>
          <w:szCs w:val="30"/>
        </w:rPr>
        <w:t>19</w:t>
      </w:r>
    </w:p>
    <w:p>
      <w:pPr>
        <w:pStyle w:val="32"/>
        <w:tabs>
          <w:tab w:val="right" w:leader="dot" w:pos="9072"/>
        </w:tabs>
        <w:spacing w:line="1200" w:lineRule="exact"/>
        <w:ind w:right="-2"/>
        <w:jc w:val="center"/>
        <w:rPr>
          <w:rFonts w:ascii="宋体" w:hAnsi="宋体" w:eastAsia="宋体"/>
          <w:sz w:val="30"/>
          <w:szCs w:val="30"/>
        </w:rPr>
      </w:pPr>
      <w:r>
        <w:rPr>
          <w:rFonts w:hint="eastAsia" w:ascii="宋体" w:hAnsi="宋体" w:eastAsia="宋体" w:cs="宋体"/>
          <w:sz w:val="30"/>
          <w:szCs w:val="30"/>
        </w:rPr>
        <w:t>第七章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质疑与投诉</w:t>
      </w:r>
      <w:r>
        <w:rPr>
          <w:rFonts w:ascii="宋体" w:hAnsi="宋体" w:eastAsia="宋体"/>
          <w:sz w:val="30"/>
          <w:szCs w:val="30"/>
        </w:rPr>
        <w:tab/>
      </w:r>
      <w:r>
        <w:rPr>
          <w:rFonts w:ascii="宋体" w:hAnsi="宋体" w:eastAsia="宋体" w:cs="宋体"/>
          <w:sz w:val="30"/>
          <w:szCs w:val="30"/>
        </w:rPr>
        <w:t>2</w:t>
      </w:r>
      <w:r>
        <w:rPr>
          <w:rFonts w:hint="eastAsia" w:ascii="宋体" w:hAnsi="宋体" w:eastAsia="宋体" w:cs="宋体"/>
          <w:sz w:val="30"/>
          <w:szCs w:val="30"/>
        </w:rPr>
        <w:t>0</w:t>
      </w:r>
    </w:p>
    <w:p>
      <w:pPr>
        <w:pStyle w:val="32"/>
        <w:tabs>
          <w:tab w:val="right" w:leader="dot" w:pos="9072"/>
        </w:tabs>
        <w:spacing w:line="1200" w:lineRule="exact"/>
        <w:ind w:right="-2"/>
        <w:jc w:val="center"/>
        <w:rPr>
          <w:rFonts w:hint="eastAsia" w:ascii="宋体" w:hAnsi="宋体" w:eastAsia="宋体" w:cs="宋体"/>
          <w:sz w:val="30"/>
          <w:szCs w:val="30"/>
        </w:rPr>
      </w:pPr>
      <w:r>
        <w:rPr>
          <w:rFonts w:hint="eastAsia" w:ascii="宋体" w:hAnsi="宋体" w:eastAsia="宋体" w:cs="宋体"/>
          <w:sz w:val="30"/>
          <w:szCs w:val="30"/>
        </w:rPr>
        <w:t>第八章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资格审查文件的组成及格式</w:t>
      </w:r>
      <w:r>
        <w:rPr>
          <w:rFonts w:ascii="宋体" w:hAnsi="宋体" w:eastAsia="宋体"/>
          <w:sz w:val="30"/>
          <w:szCs w:val="30"/>
        </w:rPr>
        <w:tab/>
      </w:r>
      <w:r>
        <w:rPr>
          <w:rFonts w:ascii="宋体" w:hAnsi="宋体" w:eastAsia="宋体" w:cs="宋体"/>
          <w:sz w:val="30"/>
          <w:szCs w:val="30"/>
        </w:rPr>
        <w:t>2</w:t>
      </w:r>
      <w:r>
        <w:rPr>
          <w:rFonts w:hint="eastAsia" w:ascii="宋体" w:hAnsi="宋体" w:eastAsia="宋体" w:cs="宋体"/>
          <w:sz w:val="30"/>
          <w:szCs w:val="30"/>
        </w:rPr>
        <w:t>2</w:t>
      </w:r>
    </w:p>
    <w:p>
      <w:pPr>
        <w:pStyle w:val="32"/>
        <w:tabs>
          <w:tab w:val="right" w:leader="dot" w:pos="9072"/>
        </w:tabs>
        <w:spacing w:line="1200" w:lineRule="exact"/>
        <w:ind w:right="-2"/>
        <w:jc w:val="center"/>
        <w:rPr>
          <w:rFonts w:hint="default" w:ascii="宋体" w:hAnsi="宋体" w:eastAsia="宋体" w:cs="宋体"/>
          <w:sz w:val="30"/>
          <w:szCs w:val="30"/>
          <w:lang w:val="en-US" w:eastAsia="zh-CN"/>
        </w:rPr>
      </w:pPr>
      <w:r>
        <w:rPr>
          <w:rFonts w:hint="eastAsia" w:ascii="宋体" w:hAnsi="宋体" w:eastAsia="宋体" w:cs="宋体"/>
          <w:sz w:val="30"/>
          <w:szCs w:val="30"/>
          <w:lang w:eastAsia="zh-CN"/>
        </w:rPr>
        <w:t>第九章</w:t>
      </w:r>
      <w:r>
        <w:rPr>
          <w:rFonts w:hint="eastAsia" w:ascii="宋体" w:hAnsi="宋体" w:eastAsia="宋体" w:cs="宋体"/>
          <w:sz w:val="30"/>
          <w:szCs w:val="30"/>
          <w:lang w:val="en-US" w:eastAsia="zh-CN"/>
        </w:rPr>
        <w:t xml:space="preserve"> 磋商响应文件的组成及格式 </w:t>
      </w:r>
      <w:r>
        <w:rPr>
          <w:rFonts w:hint="eastAsia" w:ascii="宋体" w:hAnsi="宋体" w:eastAsia="宋体" w:cs="宋体"/>
          <w:sz w:val="30"/>
          <w:szCs w:val="30"/>
          <w:lang w:val="en-US" w:eastAsia="zh-CN"/>
        </w:rPr>
        <w:tab/>
      </w:r>
      <w:r>
        <w:rPr>
          <w:rFonts w:hint="eastAsia" w:ascii="宋体" w:hAnsi="宋体" w:eastAsia="宋体" w:cs="宋体"/>
          <w:sz w:val="30"/>
          <w:szCs w:val="30"/>
          <w:lang w:val="en-US" w:eastAsia="zh-CN"/>
        </w:rPr>
        <w:t>25</w:t>
      </w:r>
    </w:p>
    <w:p/>
    <w:p>
      <w:pPr>
        <w:pStyle w:val="9"/>
        <w:tabs>
          <w:tab w:val="right" w:leader="dot" w:pos="9072"/>
        </w:tabs>
        <w:overflowPunct w:val="0"/>
        <w:spacing w:line="1200" w:lineRule="exact"/>
        <w:ind w:right="-2" w:firstLine="0"/>
        <w:jc w:val="center"/>
      </w:pPr>
    </w:p>
    <w:p>
      <w:pPr>
        <w:pStyle w:val="9"/>
        <w:tabs>
          <w:tab w:val="right" w:leader="dot" w:pos="9072"/>
        </w:tabs>
        <w:overflowPunct w:val="0"/>
        <w:spacing w:line="1200" w:lineRule="exact"/>
        <w:ind w:right="-2" w:firstLine="0"/>
        <w:jc w:val="center"/>
        <w:sectPr>
          <w:footerReference r:id="rId5" w:type="first"/>
          <w:footerReference r:id="rId4" w:type="default"/>
          <w:pgSz w:w="11906" w:h="16838"/>
          <w:pgMar w:top="1276" w:right="1474" w:bottom="709" w:left="1418" w:header="851" w:footer="448" w:gutter="0"/>
          <w:pgNumType w:start="1"/>
          <w:cols w:space="720" w:num="1"/>
          <w:titlePg/>
          <w:docGrid w:linePitch="380" w:charSpace="-5735"/>
        </w:sectPr>
      </w:pPr>
    </w:p>
    <w:p>
      <w:pPr>
        <w:pStyle w:val="9"/>
        <w:tabs>
          <w:tab w:val="right" w:leader="dot" w:pos="9072"/>
        </w:tabs>
        <w:overflowPunct w:val="0"/>
        <w:spacing w:line="1200" w:lineRule="exact"/>
        <w:ind w:right="-2" w:firstLine="0"/>
        <w:jc w:val="center"/>
        <w:rPr>
          <w:rFonts w:eastAsia="仿宋_GB2312"/>
          <w:b/>
          <w:bCs/>
          <w:sz w:val="30"/>
          <w:szCs w:val="30"/>
        </w:rPr>
        <w:sectPr>
          <w:footerReference r:id="rId7" w:type="first"/>
          <w:footerReference r:id="rId6" w:type="default"/>
          <w:pgSz w:w="11906" w:h="16838"/>
          <w:pgMar w:top="1276" w:right="1474" w:bottom="709" w:left="1418" w:header="851" w:footer="448" w:gutter="0"/>
          <w:pgNumType w:start="1"/>
          <w:cols w:space="720" w:num="1"/>
          <w:docGrid w:linePitch="380" w:charSpace="-5735"/>
        </w:sectPr>
      </w:pPr>
      <w:r>
        <w:rPr>
          <w:rFonts w:eastAsia="仿宋_GB2312"/>
          <w:b/>
          <w:bCs/>
          <w:sz w:val="30"/>
          <w:szCs w:val="30"/>
        </w:rPr>
        <w:fldChar w:fldCharType="end"/>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eastAsia="宋体"/>
          <w:sz w:val="24"/>
          <w:szCs w:val="24"/>
        </w:rPr>
      </w:pPr>
      <w:r>
        <w:rPr>
          <w:rFonts w:hint="eastAsia" w:ascii="宋体" w:hAnsi="宋体" w:eastAsia="宋体" w:cs="宋体"/>
          <w:sz w:val="24"/>
          <w:szCs w:val="24"/>
        </w:rPr>
        <w:t>尊敬的投标供应商（以下称供应商）：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sz w:val="24"/>
          <w:szCs w:val="24"/>
        </w:rPr>
      </w:pPr>
      <w:r>
        <w:rPr>
          <w:rFonts w:hint="eastAsia" w:ascii="宋体" w:hAnsi="宋体" w:eastAsia="宋体" w:cs="宋体"/>
          <w:sz w:val="24"/>
          <w:szCs w:val="24"/>
        </w:rPr>
        <w:t>欢迎参加本采购项目的竞争性磋商。为了保证本项目磋商顺利进行，请在制作磋商响应文件之前，仔细阅读本竞争性磋商文件的各项条款，并按要求制作和递交磋商响应文件。谢谢合作！</w:t>
      </w:r>
    </w:p>
    <w:p>
      <w:pPr>
        <w:keepNext w:val="0"/>
        <w:keepLines w:val="0"/>
        <w:pageBreakBefore w:val="0"/>
        <w:widowControl w:val="0"/>
        <w:tabs>
          <w:tab w:val="left" w:pos="1050"/>
          <w:tab w:val="right" w:leader="dot" w:pos="9402"/>
        </w:tabs>
        <w:kinsoku/>
        <w:wordWrap/>
        <w:overflowPunct/>
        <w:topLinePunct w:val="0"/>
        <w:autoSpaceDE/>
        <w:autoSpaceDN/>
        <w:bidi w:val="0"/>
        <w:adjustRightInd/>
        <w:spacing w:line="360" w:lineRule="exact"/>
        <w:jc w:val="center"/>
        <w:textAlignment w:val="auto"/>
        <w:outlineLvl w:val="0"/>
        <w:rPr>
          <w:rFonts w:ascii="宋体" w:hAnsi="宋体" w:eastAsia="宋体"/>
          <w:b/>
          <w:bCs/>
          <w:w w:val="80"/>
          <w:sz w:val="36"/>
          <w:szCs w:val="36"/>
        </w:rPr>
      </w:pPr>
      <w:bookmarkStart w:id="0" w:name="_Toc363573853"/>
      <w:r>
        <w:rPr>
          <w:rFonts w:hint="eastAsia" w:ascii="宋体" w:hAnsi="宋体" w:eastAsia="宋体" w:cs="宋体"/>
          <w:b/>
          <w:bCs/>
          <w:w w:val="80"/>
          <w:sz w:val="36"/>
          <w:szCs w:val="36"/>
        </w:rPr>
        <w:t>第一章</w:t>
      </w:r>
      <w:bookmarkEnd w:id="0"/>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rPr>
        <w:t>竞争性磋商公告</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bookmarkStart w:id="1" w:name="_Toc363573854"/>
      <w:r>
        <w:rPr>
          <w:rFonts w:hint="eastAsia" w:ascii="宋体" w:hAnsi="宋体" w:eastAsia="宋体" w:cs="宋体"/>
          <w:sz w:val="24"/>
          <w:szCs w:val="24"/>
        </w:rPr>
        <w:t>我中心新大楼需设计制作安装标识标牌，现对设计制作安装单位组织竞争性磋商采购，欢迎符合资格条件的供应商前来参加该项目的磋商响应。</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一、项目名称：</w:t>
      </w:r>
      <w:r>
        <w:rPr>
          <w:rFonts w:hint="eastAsia" w:ascii="宋体" w:hAnsi="宋体" w:eastAsia="宋体" w:cs="宋体"/>
          <w:sz w:val="24"/>
          <w:szCs w:val="24"/>
        </w:rPr>
        <w:t>南通人力资源大厦标识标牌设计制作安装项目；</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二、项目预算：</w:t>
      </w:r>
      <w:r>
        <w:rPr>
          <w:rFonts w:hint="eastAsia" w:ascii="宋体" w:hAnsi="宋体" w:eastAsia="宋体" w:cs="宋体"/>
          <w:sz w:val="24"/>
          <w:szCs w:val="24"/>
        </w:rPr>
        <w:t>17万元</w:t>
      </w:r>
      <w:r>
        <w:rPr>
          <w:rFonts w:hint="eastAsia" w:ascii="宋体" w:hAnsi="宋体" w:eastAsia="宋体" w:cs="宋体"/>
          <w:sz w:val="24"/>
          <w:szCs w:val="24"/>
          <w:lang w:eastAsia="zh-CN"/>
        </w:rPr>
        <w:t>，</w:t>
      </w:r>
      <w:r>
        <w:rPr>
          <w:rFonts w:hint="eastAsia" w:ascii="宋体" w:hAnsi="宋体" w:eastAsia="宋体" w:cs="宋体"/>
          <w:sz w:val="24"/>
          <w:szCs w:val="24"/>
        </w:rPr>
        <w:t>投标价不得超过项目预算，超过为无效投标；</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三、项目需求：</w:t>
      </w:r>
      <w:r>
        <w:rPr>
          <w:rFonts w:hint="eastAsia" w:ascii="宋体" w:hAnsi="宋体" w:eastAsia="宋体" w:cs="宋体"/>
          <w:sz w:val="24"/>
          <w:szCs w:val="24"/>
        </w:rPr>
        <w:t>具体见本磋商文件第三章；</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四、供应商资格</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2.具有有效的营业执照，经营范围须包含标识标牌设计制作或广告设计安装。</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3.本项目不接受任何形式的联合体投标。</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4.单位负责人为同一人或者存在直接控股、管理关系的不同供应商，不得同时参与同一采购项目相同标段的政府采购活动。</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五、本公告及磋商文件发布网站：</w:t>
      </w:r>
      <w:r>
        <w:rPr>
          <w:rFonts w:hint="eastAsia" w:ascii="宋体" w:hAnsi="宋体" w:eastAsia="宋体" w:cs="宋体"/>
          <w:sz w:val="24"/>
          <w:szCs w:val="24"/>
        </w:rPr>
        <w:t>南通市人力资源和社会保障局网站（http://rsj.nantong.gov.cn）。凡涉及磋商文件的补充说明、澄清或修改，均以网站发布的信息为准。</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六、磋商文件的获取</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公告发布</w:t>
      </w:r>
      <w:r>
        <w:rPr>
          <w:rFonts w:hint="eastAsia" w:ascii="宋体" w:hAnsi="宋体" w:eastAsia="宋体" w:cs="宋体"/>
          <w:sz w:val="24"/>
          <w:szCs w:val="24"/>
          <w:lang w:eastAsia="zh-CN"/>
        </w:rPr>
        <w:t>之日起，</w:t>
      </w:r>
      <w:r>
        <w:rPr>
          <w:rFonts w:hint="eastAsia" w:ascii="宋体" w:hAnsi="宋体" w:eastAsia="宋体" w:cs="宋体"/>
          <w:sz w:val="24"/>
          <w:szCs w:val="24"/>
        </w:rPr>
        <w:t>凡有意参加投标者，请于“南通市人力资源和社会保障局网站”下载磋商文件。</w:t>
      </w:r>
    </w:p>
    <w:p>
      <w:pPr>
        <w:keepNext w:val="0"/>
        <w:keepLines w:val="0"/>
        <w:pageBreakBefore w:val="0"/>
        <w:widowControl w:val="0"/>
        <w:numPr>
          <w:ilvl w:val="0"/>
          <w:numId w:val="2"/>
        </w:numPr>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报名及资格审查</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时间</w:t>
      </w:r>
      <w:r>
        <w:rPr>
          <w:rFonts w:hint="eastAsia" w:ascii="宋体" w:hAnsi="宋体" w:eastAsia="宋体" w:cs="宋体"/>
          <w:b/>
          <w:bCs/>
          <w:sz w:val="24"/>
          <w:szCs w:val="24"/>
          <w:lang w:val="en-US" w:eastAsia="zh-CN"/>
        </w:rPr>
        <w:t>：2021年6月21日上午</w:t>
      </w:r>
      <w:r>
        <w:rPr>
          <w:rFonts w:hint="eastAsia" w:ascii="宋体" w:hAnsi="宋体" w:eastAsia="宋体" w:cs="宋体"/>
          <w:b/>
          <w:sz w:val="24"/>
          <w:szCs w:val="24"/>
          <w:lang w:val="en-US" w:eastAsia="zh-CN"/>
        </w:rPr>
        <w:t>9:0</w:t>
      </w:r>
      <w:r>
        <w:rPr>
          <w:rFonts w:hint="eastAsia" w:ascii="宋体" w:hAnsi="宋体" w:eastAsia="宋体" w:cs="宋体"/>
          <w:b/>
          <w:sz w:val="24"/>
          <w:szCs w:val="24"/>
        </w:rPr>
        <w:t>0——</w:t>
      </w:r>
      <w:r>
        <w:rPr>
          <w:rFonts w:hint="eastAsia" w:ascii="宋体" w:hAnsi="宋体" w:eastAsia="宋体" w:cs="宋体"/>
          <w:b/>
          <w:sz w:val="24"/>
          <w:szCs w:val="24"/>
          <w:lang w:val="en-US" w:eastAsia="zh-CN"/>
        </w:rPr>
        <w:t>11:00</w:t>
      </w:r>
      <w:r>
        <w:rPr>
          <w:rFonts w:hint="eastAsia" w:ascii="宋体" w:hAnsi="宋体" w:eastAsia="宋体" w:cs="宋体"/>
          <w:b/>
          <w:sz w:val="24"/>
          <w:szCs w:val="24"/>
          <w:lang w:eastAsia="zh-CN"/>
        </w:rPr>
        <w:t>。</w:t>
      </w:r>
      <w:r>
        <w:rPr>
          <w:rFonts w:hint="eastAsia" w:ascii="宋体" w:hAnsi="宋体" w:eastAsia="宋体" w:cs="宋体"/>
          <w:sz w:val="24"/>
          <w:szCs w:val="24"/>
        </w:rPr>
        <w:t>地址：南通市工农北路150号南通人力资源大厦</w:t>
      </w:r>
      <w:r>
        <w:rPr>
          <w:rFonts w:hint="eastAsia" w:ascii="宋体" w:hAnsi="宋体" w:eastAsia="宋体" w:cs="宋体"/>
          <w:sz w:val="24"/>
          <w:szCs w:val="24"/>
          <w:lang w:val="en-US" w:eastAsia="zh-CN"/>
        </w:rPr>
        <w:t>510会议室</w:t>
      </w:r>
      <w:r>
        <w:rPr>
          <w:rFonts w:hint="eastAsia" w:ascii="宋体" w:hAnsi="宋体" w:eastAsia="宋体" w:cs="宋体"/>
          <w:sz w:val="24"/>
          <w:szCs w:val="24"/>
          <w:lang w:eastAsia="zh-CN"/>
        </w:rPr>
        <w:t>，</w:t>
      </w:r>
      <w:r>
        <w:rPr>
          <w:rFonts w:hint="eastAsia" w:ascii="宋体" w:hAnsi="宋体" w:eastAsia="宋体" w:cs="宋体"/>
          <w:sz w:val="24"/>
          <w:szCs w:val="24"/>
        </w:rPr>
        <w:t>如有变动另行通知。</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特别提醒</w:t>
      </w:r>
      <w:r>
        <w:rPr>
          <w:rFonts w:hint="eastAsia" w:ascii="宋体" w:hAnsi="宋体" w:eastAsia="宋体" w:cs="宋体"/>
          <w:sz w:val="24"/>
          <w:szCs w:val="24"/>
          <w:lang w:val="zh-CN"/>
        </w:rPr>
        <w:t>：本次磋商收取磋商保证金</w:t>
      </w:r>
      <w:r>
        <w:rPr>
          <w:rFonts w:hint="eastAsia" w:ascii="宋体" w:hAnsi="宋体" w:eastAsia="宋体" w:cs="宋体"/>
          <w:sz w:val="24"/>
          <w:szCs w:val="24"/>
          <w:u w:val="single"/>
          <w:lang w:val="en-US" w:eastAsia="zh-CN"/>
        </w:rPr>
        <w:t>3000</w:t>
      </w:r>
      <w:r>
        <w:rPr>
          <w:rFonts w:hint="eastAsia" w:ascii="宋体" w:hAnsi="宋体" w:eastAsia="宋体" w:cs="宋体"/>
          <w:sz w:val="24"/>
          <w:szCs w:val="24"/>
          <w:lang w:val="en-US" w:eastAsia="zh-CN"/>
        </w:rPr>
        <w:t>元，供应商应携</w:t>
      </w:r>
      <w:r>
        <w:rPr>
          <w:rFonts w:hint="eastAsia" w:ascii="宋体" w:hAnsi="宋体" w:eastAsia="宋体" w:cs="宋体"/>
          <w:sz w:val="24"/>
          <w:szCs w:val="24"/>
          <w:u w:val="single"/>
          <w:lang w:val="en-US" w:eastAsia="zh-CN"/>
        </w:rPr>
        <w:t>磋商</w:t>
      </w:r>
      <w:r>
        <w:rPr>
          <w:rFonts w:hint="eastAsia" w:ascii="宋体" w:hAnsi="宋体" w:eastAsia="宋体" w:cs="宋体"/>
          <w:sz w:val="24"/>
          <w:szCs w:val="24"/>
          <w:u w:val="single"/>
          <w:lang w:val="zh-CN"/>
        </w:rPr>
        <w:t>保证金汇款凭证</w:t>
      </w:r>
      <w:r>
        <w:rPr>
          <w:rFonts w:hint="eastAsia" w:ascii="宋体" w:hAnsi="宋体" w:eastAsia="宋体" w:cs="宋体"/>
          <w:sz w:val="24"/>
          <w:szCs w:val="24"/>
          <w:lang w:val="zh-CN"/>
        </w:rPr>
        <w:t>及</w:t>
      </w:r>
      <w:r>
        <w:rPr>
          <w:rFonts w:hint="eastAsia" w:ascii="宋体" w:hAnsi="宋体" w:eastAsia="宋体" w:cs="宋体"/>
          <w:sz w:val="24"/>
          <w:szCs w:val="24"/>
          <w:u w:val="single"/>
          <w:lang w:val="zh-CN"/>
        </w:rPr>
        <w:t>资格审查材料文件</w:t>
      </w:r>
      <w:r>
        <w:rPr>
          <w:rFonts w:hint="eastAsia" w:ascii="宋体" w:hAnsi="宋体" w:eastAsia="宋体" w:cs="宋体"/>
          <w:sz w:val="24"/>
          <w:szCs w:val="24"/>
          <w:lang w:val="zh-CN"/>
        </w:rPr>
        <w:t>报名及资格审查。</w:t>
      </w:r>
    </w:p>
    <w:p>
      <w:pPr>
        <w:keepNext w:val="0"/>
        <w:keepLines w:val="0"/>
        <w:pageBreakBefore w:val="0"/>
        <w:widowControl w:val="0"/>
        <w:numPr>
          <w:ilvl w:val="0"/>
          <w:numId w:val="2"/>
        </w:numPr>
        <w:kinsoku/>
        <w:wordWrap/>
        <w:overflowPunct/>
        <w:topLinePunct w:val="0"/>
        <w:autoSpaceDE/>
        <w:autoSpaceDN/>
        <w:bidi w:val="0"/>
        <w:adjustRightInd/>
        <w:spacing w:line="36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磋商响应文件的递交接收</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磋商响应文件接收时间：</w:t>
      </w:r>
      <w:r>
        <w:rPr>
          <w:rFonts w:hint="eastAsia" w:ascii="宋体" w:hAnsi="宋体" w:eastAsia="宋体" w:cs="宋体"/>
          <w:b/>
          <w:sz w:val="24"/>
          <w:szCs w:val="24"/>
        </w:rPr>
        <w:t>2021年6月</w:t>
      </w:r>
      <w:r>
        <w:rPr>
          <w:rFonts w:hint="eastAsia" w:ascii="宋体" w:hAnsi="宋体" w:eastAsia="宋体" w:cs="宋体"/>
          <w:b/>
          <w:sz w:val="24"/>
          <w:szCs w:val="24"/>
          <w:lang w:val="en-US" w:eastAsia="zh-CN"/>
        </w:rPr>
        <w:t>23</w:t>
      </w:r>
      <w:r>
        <w:rPr>
          <w:rFonts w:hint="eastAsia" w:ascii="宋体" w:hAnsi="宋体" w:eastAsia="宋体" w:cs="宋体"/>
          <w:b/>
          <w:sz w:val="24"/>
          <w:szCs w:val="24"/>
        </w:rPr>
        <w:t>日上午8：30——9:</w:t>
      </w:r>
      <w:r>
        <w:rPr>
          <w:rFonts w:hint="eastAsia" w:ascii="宋体" w:hAnsi="宋体" w:eastAsia="宋体" w:cs="宋体"/>
          <w:b/>
          <w:sz w:val="24"/>
          <w:szCs w:val="24"/>
          <w:lang w:val="en-US" w:eastAsia="zh-CN"/>
        </w:rPr>
        <w:t>20</w:t>
      </w:r>
      <w:r>
        <w:rPr>
          <w:rFonts w:hint="eastAsia" w:ascii="宋体" w:hAnsi="宋体" w:eastAsia="宋体" w:cs="宋体"/>
          <w:b/>
          <w:sz w:val="24"/>
          <w:szCs w:val="24"/>
        </w:rPr>
        <w:t>。</w:t>
      </w:r>
      <w:r>
        <w:rPr>
          <w:rFonts w:hint="eastAsia" w:ascii="宋体" w:hAnsi="宋体" w:eastAsia="宋体" w:cs="宋体"/>
          <w:sz w:val="24"/>
          <w:szCs w:val="24"/>
        </w:rPr>
        <w:t>地址：南通市工农北路150号南通人力资源大厦503办公室，如有变动另行通知。</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、评标办法：</w:t>
      </w:r>
      <w:r>
        <w:rPr>
          <w:rFonts w:hint="eastAsia" w:ascii="宋体" w:hAnsi="宋体" w:eastAsia="宋体" w:cs="宋体"/>
          <w:sz w:val="24"/>
          <w:szCs w:val="24"/>
        </w:rPr>
        <w:t>综合评分法，详见磋商文件第四章。</w:t>
      </w:r>
    </w:p>
    <w:p>
      <w:pPr>
        <w:keepNext w:val="0"/>
        <w:keepLines w:val="0"/>
        <w:pageBreakBefore w:val="0"/>
        <w:widowControl w:val="0"/>
        <w:kinsoku/>
        <w:wordWrap/>
        <w:overflowPunct/>
        <w:topLinePunct w:val="0"/>
        <w:autoSpaceDE/>
        <w:autoSpaceDN/>
        <w:bidi w:val="0"/>
        <w:adjustRightInd/>
        <w:spacing w:line="3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、磋商响应联系方式</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采购单位：南通市人力资源服务中心；</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联系人：施婕妤；</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电话：83559096。</w:t>
      </w:r>
    </w:p>
    <w:p/>
    <w:p>
      <w:pPr>
        <w:pStyle w:val="2"/>
        <w:spacing w:before="120"/>
        <w:ind w:firstLine="0" w:firstLineChars="0"/>
        <w:rPr>
          <w:rFonts w:cs="Times New Roman"/>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第二章</w:t>
      </w:r>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rPr>
        <w:t>供应商须知</w:t>
      </w:r>
      <w:bookmarkEnd w:id="1"/>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一、说明</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本磋商文件仅适用于本中心组织的采购活动。</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采购活动及因本次磋商产生的合同受中国法律制约和保护。</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磋商文件的解释权属于本中心。</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ascii="宋体" w:hAnsi="宋体" w:eastAsia="宋体" w:cs="宋体"/>
          <w:sz w:val="24"/>
          <w:szCs w:val="24"/>
        </w:rPr>
        <w:t>3</w:t>
      </w:r>
      <w:r>
        <w:rPr>
          <w:rFonts w:hint="eastAsia" w:ascii="宋体" w:hAnsi="宋体" w:eastAsia="宋体" w:cs="宋体"/>
          <w:sz w:val="24"/>
          <w:szCs w:val="24"/>
        </w:rPr>
        <w:t>个工作日内以书面实名制形式提出质疑；未提出询问或是未在规定期间内提出的视作供应商接受本项目磋商公告及磋商文件中的全部内容；供应商不得在磋商活动期间及结束后针对本项目磋商公告及磋商文件中的所有内容提出质疑事项。</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磋商文件项目需求提供的可能涉及到的工艺、材料、设备、商标、样本、技术规范、参数规格、品牌等，仅作为说明并没有限制性，供应商在磋商响应中可以选用替代标准，但这些替代标准要优于项目需求技术规格中要求的标准，以满足采购人的需要。</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二、磋商文件的补充说明、澄清、修改、答疑</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中心有权对发出的磋商文件进行必要的补充说明、澄清或修改。</w:t>
      </w:r>
    </w:p>
    <w:p>
      <w:pPr>
        <w:snapToGrid w:val="0"/>
        <w:spacing w:line="42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凡涉及磋商文件的补充说明、澄清或修改，均以中心在“南通人力资源和社会保障局网站”发布的信息为准。</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中心对磋商文件的补充说明、澄清或修改，将构成本项目采购文件的一部分，对供应商具有约束力。</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补充说明、澄清或修改的内容可能影响到响应文件编制的，中心将在提交磋商响应文件截止日</w:t>
      </w:r>
      <w:r>
        <w:rPr>
          <w:rFonts w:ascii="宋体" w:hAnsi="宋体" w:eastAsia="宋体" w:cs="宋体"/>
          <w:sz w:val="24"/>
          <w:szCs w:val="24"/>
        </w:rPr>
        <w:t>5</w:t>
      </w:r>
      <w:r>
        <w:rPr>
          <w:rFonts w:hint="eastAsia" w:ascii="宋体" w:hAnsi="宋体" w:eastAsia="宋体" w:cs="宋体"/>
          <w:sz w:val="24"/>
          <w:szCs w:val="24"/>
        </w:rPr>
        <w:t>日前，发布补充说明、澄清或修改公告。不足</w:t>
      </w:r>
      <w:r>
        <w:rPr>
          <w:rFonts w:ascii="宋体" w:hAnsi="宋体" w:eastAsia="宋体" w:cs="宋体"/>
          <w:sz w:val="24"/>
          <w:szCs w:val="24"/>
        </w:rPr>
        <w:t>5</w:t>
      </w:r>
      <w:r>
        <w:rPr>
          <w:rFonts w:hint="eastAsia" w:ascii="宋体" w:hAnsi="宋体" w:eastAsia="宋体" w:cs="宋体"/>
          <w:sz w:val="24"/>
          <w:szCs w:val="24"/>
        </w:rPr>
        <w:t>日的，应当顺延首次提交磋商响应文件截止之日。</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除非中心以书面、公告的形式对磋商文件作出澄清、修改、补充并通知到供应商，供应商对涉及磋商文件的任何推论、理解及其结论所造成的结果，均由供应商自负。</w:t>
      </w:r>
    </w:p>
    <w:p>
      <w:pPr>
        <w:snapToGrid w:val="0"/>
        <w:spacing w:line="420" w:lineRule="exact"/>
        <w:ind w:firstLine="482" w:firstLineChars="200"/>
        <w:outlineLvl w:val="1"/>
        <w:rPr>
          <w:rFonts w:hint="eastAsia" w:ascii="宋体" w:hAnsi="宋体" w:eastAsia="宋体" w:cs="宋体"/>
          <w:b/>
          <w:bCs/>
          <w:sz w:val="24"/>
          <w:szCs w:val="24"/>
          <w:lang w:eastAsia="zh-CN"/>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资格审查文件的组成及装订</w:t>
      </w:r>
    </w:p>
    <w:p>
      <w:pPr>
        <w:snapToGrid w:val="0"/>
        <w:spacing w:line="420" w:lineRule="exact"/>
        <w:ind w:firstLine="487" w:firstLineChars="202"/>
        <w:outlineLvl w:val="2"/>
        <w:rPr>
          <w:rFonts w:ascii="宋体" w:hAnsi="宋体" w:eastAsia="宋体"/>
          <w:b/>
          <w:bCs/>
          <w:color w:val="000000"/>
          <w:sz w:val="24"/>
          <w:szCs w:val="24"/>
        </w:rPr>
      </w:pPr>
      <w:r>
        <w:rPr>
          <w:rFonts w:hint="eastAsia" w:ascii="宋体" w:hAnsi="宋体" w:eastAsia="宋体" w:cs="宋体"/>
          <w:b/>
          <w:bCs/>
          <w:color w:val="000000"/>
          <w:sz w:val="24"/>
          <w:szCs w:val="24"/>
        </w:rPr>
        <w:t>资格</w:t>
      </w:r>
      <w:r>
        <w:rPr>
          <w:rFonts w:hint="eastAsia" w:ascii="宋体" w:hAnsi="宋体" w:eastAsia="宋体" w:cs="宋体"/>
          <w:b/>
          <w:bCs/>
          <w:color w:val="000000"/>
          <w:sz w:val="24"/>
          <w:szCs w:val="24"/>
          <w:lang w:eastAsia="zh-CN"/>
        </w:rPr>
        <w:t>审查</w:t>
      </w:r>
      <w:r>
        <w:rPr>
          <w:rFonts w:hint="eastAsia" w:ascii="宋体" w:hAnsi="宋体" w:eastAsia="宋体" w:cs="宋体"/>
          <w:b/>
          <w:bCs/>
          <w:color w:val="000000"/>
          <w:sz w:val="24"/>
          <w:szCs w:val="24"/>
        </w:rPr>
        <w:t>材料文件</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rPr>
        <w:t>（一个密封包，内含：</w:t>
      </w:r>
      <w:r>
        <w:rPr>
          <w:rFonts w:ascii="宋体" w:hAnsi="宋体" w:eastAsia="宋体" w:cs="宋体"/>
          <w:color w:val="000000"/>
          <w:sz w:val="24"/>
          <w:szCs w:val="24"/>
        </w:rPr>
        <w:t>1</w:t>
      </w:r>
      <w:r>
        <w:rPr>
          <w:rFonts w:hint="eastAsia" w:ascii="宋体" w:hAnsi="宋体" w:eastAsia="宋体" w:cs="宋体"/>
          <w:color w:val="000000"/>
          <w:sz w:val="24"/>
          <w:szCs w:val="24"/>
        </w:rPr>
        <w:t>份“正本”和</w:t>
      </w:r>
      <w:r>
        <w:rPr>
          <w:rFonts w:ascii="宋体" w:hAnsi="宋体" w:eastAsia="宋体" w:cs="宋体"/>
          <w:color w:val="000000"/>
          <w:sz w:val="24"/>
          <w:szCs w:val="24"/>
        </w:rPr>
        <w:t>2</w:t>
      </w:r>
      <w:r>
        <w:rPr>
          <w:rFonts w:hint="eastAsia" w:ascii="宋体" w:hAnsi="宋体" w:eastAsia="宋体" w:cs="宋体"/>
          <w:color w:val="000000"/>
          <w:sz w:val="24"/>
          <w:szCs w:val="24"/>
        </w:rPr>
        <w:t>份“副本”。）</w:t>
      </w:r>
    </w:p>
    <w:p>
      <w:pPr>
        <w:snapToGrid w:val="0"/>
        <w:spacing w:line="420" w:lineRule="exact"/>
        <w:ind w:firstLine="491" w:firstLineChars="205"/>
        <w:rPr>
          <w:rFonts w:ascii="宋体" w:hAnsi="宋体" w:eastAsia="宋体"/>
          <w:color w:val="000000"/>
          <w:sz w:val="21"/>
          <w:szCs w:val="21"/>
        </w:rPr>
      </w:pPr>
      <w:r>
        <w:rPr>
          <w:rFonts w:hint="eastAsia" w:ascii="宋体" w:hAnsi="宋体" w:eastAsia="宋体" w:cs="宋体"/>
          <w:color w:val="000000"/>
          <w:sz w:val="24"/>
          <w:szCs w:val="24"/>
        </w:rPr>
        <w:t>【特别提醒】单位负责人为同一人或者存在直接控股、管理关系的不同供应商，不得同时参与同一采购项目相同标段的政府采购活动；如发现供应商递交的资格</w:t>
      </w:r>
      <w:r>
        <w:rPr>
          <w:rFonts w:hint="eastAsia" w:ascii="宋体" w:hAnsi="宋体" w:eastAsia="宋体" w:cs="宋体"/>
          <w:color w:val="000000"/>
          <w:sz w:val="24"/>
          <w:szCs w:val="24"/>
          <w:lang w:eastAsia="zh-CN"/>
        </w:rPr>
        <w:t>审查</w:t>
      </w:r>
      <w:r>
        <w:rPr>
          <w:rFonts w:hint="eastAsia" w:ascii="宋体" w:hAnsi="宋体" w:eastAsia="宋体" w:cs="宋体"/>
          <w:color w:val="000000"/>
          <w:sz w:val="24"/>
          <w:szCs w:val="24"/>
        </w:rPr>
        <w:t>材料有弄虚作假行为，该供应商将记入不良记录，并上报有关部门，如已成交，中心有权取消其成交资格，并由该供应商承担一切责任和损失。</w:t>
      </w:r>
    </w:p>
    <w:p>
      <w:pPr>
        <w:snapToGrid w:val="0"/>
        <w:spacing w:line="420" w:lineRule="exact"/>
        <w:ind w:firstLine="491" w:firstLineChars="205"/>
        <w:rPr>
          <w:rFonts w:ascii="宋体" w:hAnsi="宋体" w:eastAsia="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提供磋商响应供应商的《营业执照》原件的复印件（须加盖公章）。</w:t>
      </w:r>
    </w:p>
    <w:p>
      <w:pPr>
        <w:snapToGrid w:val="0"/>
        <w:spacing w:line="420" w:lineRule="exact"/>
        <w:ind w:firstLine="491" w:firstLineChars="205"/>
        <w:rPr>
          <w:rFonts w:ascii="宋体" w:hAnsi="宋体" w:eastAsia="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法定代表人参加磋商的，必须提供本人身份证原件的复印件（须加盖公章）；非法定代表人参加的，必须提供法定代表人签名或盖章的授权委托书、委托代理人身份证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这</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项材料原件的复印件（须加盖公章）。</w:t>
      </w:r>
    </w:p>
    <w:p>
      <w:pPr>
        <w:snapToGrid w:val="0"/>
        <w:spacing w:line="420" w:lineRule="exact"/>
        <w:ind w:firstLine="484" w:firstLineChars="202"/>
        <w:rPr>
          <w:rFonts w:ascii="宋体" w:hAnsi="宋体" w:eastAsia="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磋商响应供应商须提供参与本次项目政府采购活动前三年内在经营活动中没有重大违法记录的书面《无重大违法记录声明函》（须加盖公章）。</w:t>
      </w:r>
    </w:p>
    <w:p>
      <w:pPr>
        <w:snapToGrid w:val="0"/>
        <w:spacing w:line="420" w:lineRule="exact"/>
        <w:ind w:firstLine="491" w:firstLineChars="205"/>
        <w:rPr>
          <w:rFonts w:hint="eastAsia"/>
          <w:lang w:eastAsia="zh-CN"/>
        </w:rPr>
      </w:pPr>
      <w:r>
        <w:rPr>
          <w:rFonts w:ascii="宋体" w:hAnsi="宋体" w:eastAsia="宋体" w:cs="宋体"/>
          <w:color w:val="000000"/>
          <w:sz w:val="24"/>
          <w:szCs w:val="24"/>
        </w:rPr>
        <w:t>4.</w:t>
      </w:r>
      <w:r>
        <w:rPr>
          <w:rFonts w:hint="eastAsia" w:ascii="宋体" w:hAnsi="宋体" w:eastAsia="宋体" w:cs="宋体"/>
          <w:color w:val="000000"/>
          <w:sz w:val="24"/>
          <w:szCs w:val="24"/>
        </w:rPr>
        <w:t>磋商响应供应商还须提供谈判文件第八章中的资格</w:t>
      </w:r>
      <w:r>
        <w:rPr>
          <w:rFonts w:hint="eastAsia" w:ascii="宋体" w:hAnsi="宋体" w:eastAsia="宋体" w:cs="宋体"/>
          <w:color w:val="000000"/>
          <w:sz w:val="24"/>
          <w:szCs w:val="24"/>
          <w:lang w:eastAsia="zh-CN"/>
        </w:rPr>
        <w:t>审查</w:t>
      </w:r>
      <w:r>
        <w:rPr>
          <w:rFonts w:hint="eastAsia" w:ascii="宋体" w:hAnsi="宋体" w:eastAsia="宋体" w:cs="宋体"/>
          <w:color w:val="000000"/>
          <w:sz w:val="24"/>
          <w:szCs w:val="24"/>
        </w:rPr>
        <w:t>相关材料。</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磋商响应文件的组成及装订</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磋商响应文件由：</w:t>
      </w:r>
      <w:r>
        <w:rPr>
          <w:rFonts w:ascii="宋体" w:hAnsi="宋体" w:eastAsia="宋体" w:cs="宋体"/>
          <w:sz w:val="24"/>
          <w:szCs w:val="24"/>
        </w:rPr>
        <w:t>A</w:t>
      </w:r>
      <w:r>
        <w:rPr>
          <w:rFonts w:hint="eastAsia" w:ascii="宋体" w:hAnsi="宋体" w:eastAsia="宋体" w:cs="宋体"/>
          <w:sz w:val="24"/>
          <w:szCs w:val="24"/>
        </w:rPr>
        <w:t>技术标文件、</w:t>
      </w:r>
      <w:r>
        <w:rPr>
          <w:rFonts w:hint="eastAsia" w:ascii="宋体" w:hAnsi="宋体" w:eastAsia="宋体" w:cs="宋体"/>
          <w:sz w:val="24"/>
          <w:szCs w:val="24"/>
          <w:lang w:val="en-US" w:eastAsia="zh-CN"/>
        </w:rPr>
        <w:t>B</w:t>
      </w:r>
      <w:r>
        <w:rPr>
          <w:rFonts w:hint="eastAsia" w:ascii="宋体" w:hAnsi="宋体" w:eastAsia="宋体" w:cs="宋体"/>
          <w:sz w:val="24"/>
          <w:szCs w:val="24"/>
        </w:rPr>
        <w:t>价格标文件，共</w:t>
      </w:r>
      <w:r>
        <w:rPr>
          <w:rFonts w:hint="eastAsia" w:ascii="宋体" w:hAnsi="宋体" w:eastAsia="宋体" w:cs="宋体"/>
          <w:sz w:val="24"/>
          <w:szCs w:val="24"/>
          <w:lang w:val="en-US" w:eastAsia="zh-CN"/>
        </w:rPr>
        <w:t>2</w:t>
      </w:r>
      <w:r>
        <w:rPr>
          <w:rFonts w:hint="eastAsia" w:ascii="宋体" w:hAnsi="宋体" w:eastAsia="宋体" w:cs="宋体"/>
          <w:sz w:val="24"/>
          <w:szCs w:val="24"/>
        </w:rPr>
        <w:t>部分组成（以下由文件前缀号代称）。</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供应商按磋商响应文件组成顺序编写响应文件，并装订成册。磋商响应文件均需采用</w:t>
      </w:r>
      <w:r>
        <w:rPr>
          <w:rFonts w:ascii="宋体" w:hAnsi="宋体" w:eastAsia="宋体" w:cs="宋体"/>
          <w:sz w:val="24"/>
          <w:szCs w:val="24"/>
        </w:rPr>
        <w:t>A4</w:t>
      </w:r>
      <w:r>
        <w:rPr>
          <w:rFonts w:hint="eastAsia" w:ascii="宋体" w:hAnsi="宋体" w:eastAsia="宋体" w:cs="宋体"/>
          <w:sz w:val="24"/>
          <w:szCs w:val="24"/>
        </w:rPr>
        <w:t>纸（图纸等除外），不允许使用活页夹、拉杆夹、文件夹、塑料方便式书脊（插入式或穿孔式）装订。磋商响应文件不得行间插字、涂改、增删。修改错漏处，须经过供应商法定代表人或其委托的代理人（以下称委托代理人）签字（或盖章）并加盖公章。</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价格标文件中的所有报价表，必须装订成册。</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、磋商响应文件的份数、签署和退还</w:t>
      </w:r>
    </w:p>
    <w:p>
      <w:pPr>
        <w:snapToGrid w:val="0"/>
        <w:spacing w:line="420" w:lineRule="exact"/>
        <w:ind w:firstLine="480" w:firstLineChars="200"/>
        <w:rPr>
          <w:rFonts w:ascii="宋体" w:hAnsi="宋体" w:eastAsia="宋体"/>
          <w:b/>
          <w:bCs/>
          <w:sz w:val="24"/>
          <w:szCs w:val="24"/>
        </w:rPr>
      </w:pPr>
      <w:r>
        <w:rPr>
          <w:rFonts w:ascii="宋体" w:hAnsi="宋体" w:eastAsia="宋体" w:cs="宋体"/>
          <w:sz w:val="24"/>
          <w:szCs w:val="24"/>
        </w:rPr>
        <w:t>1.</w:t>
      </w:r>
      <w:r>
        <w:rPr>
          <w:rFonts w:hint="eastAsia" w:ascii="宋体" w:hAnsi="宋体" w:eastAsia="宋体" w:cs="宋体"/>
          <w:sz w:val="24"/>
          <w:szCs w:val="24"/>
        </w:rPr>
        <w:t>磋商响应文件均应准备“正本”壹份和“副本”贰份</w:t>
      </w:r>
      <w:r>
        <w:rPr>
          <w:rFonts w:hint="eastAsia" w:ascii="宋体" w:hAnsi="宋体" w:eastAsia="宋体" w:cs="宋体"/>
          <w:b/>
          <w:bCs/>
          <w:sz w:val="24"/>
          <w:szCs w:val="24"/>
        </w:rPr>
        <w:t>。</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在每一份磋商响应文件上要明确标注项目名称、磋商响应文件各自对应的名称、供应商全称、“正本”、“副本”字样，“正本”和“副本”若有差异，概以“正本”为准。</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磋商响应文件中的所有“正本”，须为打印的，其正文内容由法定代表人或委托代理人签字（或盖章）并加盖公章，“副本”可为“正本”的复印件。</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磋商程序顺利进行后，所有磋商响应文件都将作为档案保存，不论成交与否，中心均不退回（未拆封的除外）。</w:t>
      </w:r>
    </w:p>
    <w:p>
      <w:pPr>
        <w:snapToGrid w:val="0"/>
        <w:spacing w:line="420" w:lineRule="exact"/>
        <w:ind w:firstLine="472" w:firstLineChars="196"/>
        <w:outlineLvl w:val="1"/>
        <w:rPr>
          <w:rFonts w:ascii="宋体" w:hAnsi="宋体" w:eastAsia="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、磋商响应文件的密封及标记</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供应商须将本项目磋商响应文件：【</w:t>
      </w:r>
      <w:r>
        <w:rPr>
          <w:rFonts w:ascii="宋体" w:hAnsi="宋体" w:eastAsia="宋体" w:cs="宋体"/>
          <w:sz w:val="24"/>
          <w:szCs w:val="24"/>
        </w:rPr>
        <w:t>A</w:t>
      </w:r>
      <w:r>
        <w:rPr>
          <w:rFonts w:hint="eastAsia" w:ascii="宋体" w:hAnsi="宋体" w:eastAsia="宋体" w:cs="宋体"/>
          <w:sz w:val="24"/>
          <w:szCs w:val="24"/>
        </w:rPr>
        <w:t>】、【</w:t>
      </w:r>
      <w:r>
        <w:rPr>
          <w:rFonts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b/>
          <w:bCs/>
          <w:sz w:val="24"/>
          <w:szCs w:val="24"/>
        </w:rPr>
        <w:t>分别单独密封</w:t>
      </w:r>
      <w:r>
        <w:rPr>
          <w:rFonts w:hint="eastAsia" w:ascii="宋体" w:hAnsi="宋体" w:eastAsia="宋体" w:cs="宋体"/>
          <w:sz w:val="24"/>
          <w:szCs w:val="24"/>
        </w:rPr>
        <w:t>。</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密封后，应在每一密封件上明确标注磋商项目名称、磋商响应文件各自对应的名称、供应商全称及日期，同时加盖供应商公章。</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【特别提醒】磋商响应文件中【</w:t>
      </w:r>
      <w:r>
        <w:rPr>
          <w:rFonts w:ascii="宋体" w:hAnsi="宋体" w:eastAsia="宋体" w:cs="宋体"/>
          <w:sz w:val="24"/>
          <w:szCs w:val="24"/>
        </w:rPr>
        <w:t>A</w:t>
      </w:r>
      <w:r>
        <w:rPr>
          <w:rFonts w:hint="eastAsia" w:ascii="宋体" w:hAnsi="宋体" w:eastAsia="宋体" w:cs="宋体"/>
          <w:sz w:val="24"/>
          <w:szCs w:val="24"/>
        </w:rPr>
        <w:t>】的“正本”或“副本”内，均不得含有任何【</w:t>
      </w:r>
      <w:r>
        <w:rPr>
          <w:rFonts w:hint="eastAsia" w:ascii="宋体" w:hAnsi="宋体" w:eastAsia="宋体" w:cs="宋体"/>
          <w:sz w:val="24"/>
          <w:szCs w:val="24"/>
          <w:lang w:val="en-US" w:eastAsia="zh-CN"/>
        </w:rPr>
        <w:t>B</w:t>
      </w:r>
      <w:r>
        <w:rPr>
          <w:rFonts w:hint="eastAsia" w:ascii="宋体" w:hAnsi="宋体" w:eastAsia="宋体" w:cs="宋体"/>
          <w:sz w:val="24"/>
          <w:szCs w:val="24"/>
        </w:rPr>
        <w:t>】中的报价表（报价单）的内容，否则作无效磋商处理。</w:t>
      </w:r>
    </w:p>
    <w:p>
      <w:pPr>
        <w:snapToGrid w:val="0"/>
        <w:spacing w:line="420" w:lineRule="exact"/>
        <w:ind w:firstLine="472" w:firstLineChars="196"/>
        <w:outlineLvl w:val="1"/>
        <w:rPr>
          <w:rFonts w:ascii="宋体" w:hAnsi="宋体" w:eastAsia="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、磋商响应文件内容</w:t>
      </w:r>
    </w:p>
    <w:p>
      <w:pPr>
        <w:snapToGrid w:val="0"/>
        <w:spacing w:line="420" w:lineRule="exact"/>
        <w:ind w:firstLine="487" w:firstLineChars="202"/>
        <w:outlineLvl w:val="2"/>
        <w:rPr>
          <w:rFonts w:ascii="宋体" w:hAnsi="宋体" w:eastAsia="宋体"/>
          <w:b/>
          <w:bCs/>
          <w:color w:val="000000"/>
          <w:sz w:val="24"/>
          <w:szCs w:val="24"/>
        </w:rPr>
      </w:pPr>
      <w:r>
        <w:rPr>
          <w:rFonts w:ascii="宋体" w:hAnsi="宋体" w:eastAsia="宋体" w:cs="宋体"/>
          <w:b/>
          <w:bCs/>
          <w:color w:val="000000"/>
          <w:sz w:val="24"/>
          <w:szCs w:val="24"/>
        </w:rPr>
        <w:t>A</w:t>
      </w:r>
      <w:r>
        <w:rPr>
          <w:rFonts w:hint="eastAsia" w:ascii="宋体" w:hAnsi="宋体" w:eastAsia="宋体" w:cs="宋体"/>
          <w:b/>
          <w:bCs/>
          <w:color w:val="000000"/>
          <w:sz w:val="24"/>
          <w:szCs w:val="24"/>
        </w:rPr>
        <w:t>、技术标文件</w:t>
      </w:r>
      <w:r>
        <w:rPr>
          <w:rFonts w:hint="eastAsia" w:ascii="宋体" w:hAnsi="宋体" w:eastAsia="宋体" w:cs="宋体"/>
          <w:color w:val="000000"/>
          <w:sz w:val="24"/>
          <w:szCs w:val="24"/>
        </w:rPr>
        <w:t>（一个密封包，内含：</w:t>
      </w:r>
      <w:r>
        <w:rPr>
          <w:rFonts w:ascii="宋体" w:hAnsi="宋体" w:eastAsia="宋体" w:cs="宋体"/>
          <w:color w:val="000000"/>
          <w:sz w:val="24"/>
          <w:szCs w:val="24"/>
        </w:rPr>
        <w:t>1</w:t>
      </w:r>
      <w:r>
        <w:rPr>
          <w:rFonts w:hint="eastAsia" w:ascii="宋体" w:hAnsi="宋体" w:eastAsia="宋体" w:cs="宋体"/>
          <w:color w:val="000000"/>
          <w:sz w:val="24"/>
          <w:szCs w:val="24"/>
        </w:rPr>
        <w:t>份“正本”和</w:t>
      </w:r>
      <w:r>
        <w:rPr>
          <w:rFonts w:ascii="宋体" w:hAnsi="宋体" w:eastAsia="宋体" w:cs="宋体"/>
          <w:color w:val="000000"/>
          <w:sz w:val="24"/>
          <w:szCs w:val="24"/>
        </w:rPr>
        <w:t>2</w:t>
      </w:r>
      <w:r>
        <w:rPr>
          <w:rFonts w:hint="eastAsia" w:ascii="宋体" w:hAnsi="宋体" w:eastAsia="宋体" w:cs="宋体"/>
          <w:color w:val="000000"/>
          <w:sz w:val="24"/>
          <w:szCs w:val="24"/>
        </w:rPr>
        <w:t>份“副本”。）</w:t>
      </w:r>
      <w:r>
        <w:rPr>
          <w:rFonts w:hint="eastAsia" w:ascii="宋体" w:hAnsi="宋体" w:eastAsia="宋体" w:cs="宋体"/>
          <w:b/>
          <w:bCs/>
          <w:color w:val="000000"/>
          <w:sz w:val="24"/>
          <w:szCs w:val="24"/>
        </w:rPr>
        <w:t>（格式参见第</w:t>
      </w:r>
      <w:r>
        <w:rPr>
          <w:rFonts w:hint="eastAsia" w:ascii="宋体" w:hAnsi="宋体" w:eastAsia="宋体" w:cs="宋体"/>
          <w:b/>
          <w:bCs/>
          <w:color w:val="000000"/>
          <w:sz w:val="24"/>
          <w:szCs w:val="24"/>
          <w:lang w:eastAsia="zh-CN"/>
        </w:rPr>
        <w:t>九</w:t>
      </w:r>
      <w:r>
        <w:rPr>
          <w:rFonts w:hint="eastAsia" w:ascii="宋体" w:hAnsi="宋体" w:eastAsia="宋体" w:cs="宋体"/>
          <w:b/>
          <w:bCs/>
          <w:color w:val="000000"/>
          <w:sz w:val="24"/>
          <w:szCs w:val="24"/>
        </w:rPr>
        <w:t>章）</w:t>
      </w:r>
    </w:p>
    <w:p>
      <w:pPr>
        <w:snapToGrid w:val="0"/>
        <w:spacing w:line="420" w:lineRule="exact"/>
        <w:ind w:firstLine="491" w:firstLineChars="205"/>
        <w:rPr>
          <w:rFonts w:ascii="宋体" w:hAnsi="宋体" w:eastAsia="宋体"/>
          <w:sz w:val="24"/>
          <w:szCs w:val="24"/>
        </w:rPr>
      </w:pPr>
      <w:r>
        <w:rPr>
          <w:rFonts w:hint="eastAsia" w:ascii="宋体" w:hAnsi="宋体" w:eastAsia="宋体" w:cs="宋体"/>
          <w:sz w:val="24"/>
          <w:szCs w:val="24"/>
        </w:rPr>
        <w:t>【特别提醒】</w:t>
      </w:r>
      <w:r>
        <w:rPr>
          <w:rFonts w:hint="eastAsia" w:ascii="宋体" w:hAnsi="宋体" w:eastAsia="宋体" w:cs="宋体"/>
          <w:sz w:val="24"/>
          <w:szCs w:val="24"/>
          <w:u w:val="thick" w:color="FF0000"/>
        </w:rPr>
        <w:t>供应商应根据本磋商文件第三章“项目需求”提供的采购需求清单，仔细阅读并在理解的基础上结合第四章内的评审细则编写编制技术标文件，并提供评分标准中所涉及到的相应材料</w:t>
      </w:r>
      <w:r>
        <w:rPr>
          <w:rFonts w:hint="eastAsia" w:ascii="宋体" w:hAnsi="宋体" w:eastAsia="宋体" w:cs="宋体"/>
          <w:sz w:val="24"/>
          <w:szCs w:val="24"/>
        </w:rPr>
        <w:t>。以下技术标文件的内容，不得有缺项或漏项。否则将有可能被视为未实质性响应磋商文件要求而作无效磋商处理，亦可能直接影响技术磋商评审的得分。</w:t>
      </w:r>
      <w:r>
        <w:rPr>
          <w:rFonts w:hint="eastAsia" w:ascii="宋体" w:hAnsi="宋体" w:eastAsia="宋体" w:cs="宋体"/>
          <w:sz w:val="24"/>
          <w:szCs w:val="24"/>
          <w:u w:val="thick" w:color="FF0000"/>
        </w:rPr>
        <w:t>凡涉及材料原件的，须将材料原件带至磋商现场，以便评审核查</w:t>
      </w:r>
      <w:r>
        <w:rPr>
          <w:rFonts w:hint="eastAsia" w:ascii="宋体" w:hAnsi="宋体" w:eastAsia="宋体" w:cs="宋体"/>
          <w:sz w:val="24"/>
          <w:szCs w:val="24"/>
        </w:rPr>
        <w:t>。</w:t>
      </w:r>
    </w:p>
    <w:p>
      <w:pPr>
        <w:spacing w:line="420" w:lineRule="exact"/>
        <w:ind w:firstLine="487" w:firstLineChars="202"/>
        <w:outlineLvl w:val="3"/>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竞争性磋商响应函；</w:t>
      </w:r>
    </w:p>
    <w:p>
      <w:pPr>
        <w:spacing w:line="420" w:lineRule="exact"/>
        <w:ind w:firstLine="487" w:firstLineChars="202"/>
        <w:outlineLvl w:val="3"/>
        <w:rPr>
          <w:rFonts w:ascii="宋体" w:hAnsi="宋体" w:eastAsia="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技术响应（技术标评审涉及到的相关资料）</w:t>
      </w:r>
    </w:p>
    <w:p>
      <w:pPr>
        <w:spacing w:line="420" w:lineRule="exact"/>
        <w:ind w:firstLine="487" w:firstLineChars="202"/>
        <w:outlineLvl w:val="2"/>
        <w:rPr>
          <w:rFonts w:ascii="宋体" w:hAnsi="宋体" w:eastAsia="宋体"/>
          <w:b/>
          <w:bCs/>
          <w:sz w:val="24"/>
          <w:szCs w:val="24"/>
        </w:rPr>
      </w:pPr>
      <w:r>
        <w:rPr>
          <w:rFonts w:hint="eastAsia" w:ascii="宋体" w:hAnsi="宋体" w:eastAsia="宋体" w:cs="宋体"/>
          <w:b/>
          <w:bCs/>
          <w:sz w:val="24"/>
          <w:szCs w:val="24"/>
          <w:lang w:val="en-US" w:eastAsia="zh-CN"/>
        </w:rPr>
        <w:t>B</w:t>
      </w:r>
      <w:r>
        <w:rPr>
          <w:rFonts w:hint="eastAsia" w:ascii="宋体" w:hAnsi="宋体" w:eastAsia="宋体" w:cs="宋体"/>
          <w:b/>
          <w:bCs/>
          <w:sz w:val="24"/>
          <w:szCs w:val="24"/>
        </w:rPr>
        <w:t>、价格标文件：</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spacing w:line="420" w:lineRule="exact"/>
        <w:ind w:firstLine="484" w:firstLineChars="202"/>
        <w:rPr>
          <w:rFonts w:ascii="宋体" w:hAnsi="宋体" w:eastAsia="宋体"/>
          <w:sz w:val="24"/>
          <w:szCs w:val="24"/>
        </w:rPr>
      </w:pPr>
      <w:r>
        <w:rPr>
          <w:rFonts w:hint="eastAsia" w:ascii="宋体" w:hAnsi="宋体" w:eastAsia="宋体" w:cs="宋体"/>
          <w:sz w:val="24"/>
          <w:szCs w:val="24"/>
        </w:rPr>
        <w:t>【特别提醒】价格标文件中的报价，包括本竞争性磋商文件规定涵盖的所有磋商范围及相应说明的全部内容涉及到的费用。本次磋商采购项目的商务付款方式，必须全部响应，不得有任何负偏离，且不接受任何意在更改的说明，否则作无效磋商处理。供应商成交后如据此提出疑义，不履行签订合同等下一步工作，采购人有权取消其成交资格。</w:t>
      </w:r>
    </w:p>
    <w:p>
      <w:pPr>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磋商响应报价（首次）总表（格式）；</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磋商响应报价明细表（格式自拟）。</w:t>
      </w:r>
    </w:p>
    <w:p>
      <w:pPr>
        <w:spacing w:line="420" w:lineRule="exact"/>
        <w:ind w:firstLine="487" w:firstLineChars="202"/>
        <w:rPr>
          <w:rFonts w:ascii="宋体" w:hAnsi="宋体" w:eastAsia="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、联合体</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本项目不接受多个供应商组成联合体参与磋商响应。</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、磋商报价</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本项目不接受任何有选择的报价。</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报价均以人民币为报价的货币单位。</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报价表必须加盖报价人公章且必须经法定代表人或其委托授权人签署。</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磋商报价出现前后不一致的，按照下列规定修正：</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）磋商响应文件中报价表（开标一览表）内容与磋商文件技术响应中内容明细不一致的，以报价表（开标一览表）为准；</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）磋商响应文件中涉及大写金额和小写金额不一致的，以大写金额为准；</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）单价金额小数点或者百分比有明显错位的，以报价表（开标一览表）的总价为准，并修改单价；</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）总价金额与按单价汇总金额不一致的，以单价金额计算结果为准。</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同时出现两种以上不一致的，按照前款规定的顺序修正。修正后的报价应当由磋商响应供应商的法定代表人或其授权的代表签字确认后产生约束力，磋商响应供应商不确认的，其投标磋商无效。</w:t>
      </w:r>
    </w:p>
    <w:p>
      <w:pPr>
        <w:snapToGrid w:val="0"/>
        <w:spacing w:line="420" w:lineRule="exact"/>
        <w:ind w:firstLine="494" w:firstLineChars="206"/>
        <w:rPr>
          <w:rFonts w:ascii="宋体" w:hAnsi="宋体" w:eastAsia="宋体"/>
        </w:rPr>
      </w:pPr>
      <w:r>
        <w:rPr>
          <w:rFonts w:ascii="宋体" w:hAnsi="宋体" w:eastAsia="宋体" w:cs="宋体"/>
          <w:sz w:val="24"/>
          <w:szCs w:val="24"/>
        </w:rPr>
        <w:t>5.</w:t>
      </w:r>
      <w:bookmarkStart w:id="2" w:name="_Hlk524490877"/>
      <w:r>
        <w:rPr>
          <w:rFonts w:hint="eastAsia" w:ascii="宋体" w:hAnsi="宋体" w:eastAsia="宋体" w:cs="宋体"/>
          <w:sz w:val="24"/>
          <w:szCs w:val="24"/>
        </w:rPr>
        <w:t>本项目磋商报价约定：</w:t>
      </w:r>
    </w:p>
    <w:p>
      <w:pPr>
        <w:snapToGrid w:val="0"/>
        <w:spacing w:line="420" w:lineRule="exact"/>
        <w:ind w:firstLine="494" w:firstLineChars="206"/>
        <w:rPr>
          <w:rFonts w:ascii="宋体" w:hAnsi="宋体" w:eastAsia="宋体"/>
          <w:sz w:val="24"/>
          <w:szCs w:val="24"/>
          <w:highlight w:val="green"/>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）投标总报价（以人民币计价）应包括本项目的设计费、材料费、包装费、运输费、装卸费、员工工资、保险、管理费、利润、税金及合同实施过程中的不可预见等所有费用，即招标物交付使用的所有服务费用。</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）磋商响应供应商的磋商报价中应含的保险费按如下规定办理：</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第三方责任险、所有工作人员装备险及其他职工的（人身）事故险由磋商供应商自行投保，保险费由成交供应商自行承担并支付，并包含在磋商报价中，不单独报价。</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）磋商报价中应包括磋商文件未明确列出但按常规应当包括的所有费用。</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）磋商响应供应商在磋商过程中发生的其他一切费用，不论中标与否，均由供应商自负。</w:t>
      </w:r>
    </w:p>
    <w:bookmarkEnd w:id="2"/>
    <w:p>
      <w:pPr>
        <w:snapToGrid w:val="0"/>
        <w:spacing w:line="420" w:lineRule="exact"/>
        <w:ind w:firstLine="494" w:firstLineChars="206"/>
        <w:rPr>
          <w:rFonts w:ascii="宋体" w:hAnsi="宋体" w:eastAsia="宋体"/>
          <w:sz w:val="24"/>
          <w:szCs w:val="24"/>
          <w:highlight w:val="yellow"/>
        </w:rPr>
      </w:pPr>
      <w:r>
        <w:rPr>
          <w:rFonts w:ascii="宋体" w:hAnsi="宋体" w:eastAsia="宋体" w:cs="宋体"/>
          <w:sz w:val="24"/>
          <w:szCs w:val="24"/>
        </w:rPr>
        <w:t>6.</w:t>
      </w:r>
      <w:r>
        <w:rPr>
          <w:rFonts w:hint="eastAsia" w:ascii="宋体" w:hAnsi="宋体" w:eastAsia="宋体" w:cs="宋体"/>
          <w:sz w:val="24"/>
          <w:szCs w:val="24"/>
          <w:u w:val="single"/>
        </w:rPr>
        <w:t>本磋商项目服务响应报价有现场最终（二次）报价</w:t>
      </w:r>
      <w:r>
        <w:rPr>
          <w:rFonts w:hint="eastAsia" w:ascii="宋体" w:hAnsi="宋体" w:eastAsia="宋体" w:cs="宋体"/>
          <w:sz w:val="24"/>
          <w:szCs w:val="24"/>
        </w:rPr>
        <w:t>。</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除非因特殊原因并经买卖双方协商同意，成交的供应商（以下称成交人）不得再要求追加任何费用。同时，除非合同条款中另有规定，否则，成交人的成交价在合同实施期间不因市场变化因素而变动。</w:t>
      </w:r>
    </w:p>
    <w:p>
      <w:pPr>
        <w:snapToGrid w:val="0"/>
        <w:spacing w:line="420" w:lineRule="exact"/>
        <w:ind w:firstLine="496" w:firstLineChars="206"/>
        <w:outlineLvl w:val="1"/>
        <w:rPr>
          <w:rFonts w:ascii="宋体" w:hAnsi="宋体" w:eastAsia="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、磋商响应文件的有效期</w:t>
      </w:r>
    </w:p>
    <w:p>
      <w:pPr>
        <w:spacing w:line="420" w:lineRule="exact"/>
        <w:ind w:firstLine="480" w:firstLineChars="200"/>
        <w:rPr>
          <w:rFonts w:ascii="宋体" w:hAnsi="宋体" w:eastAsia="宋体"/>
          <w:sz w:val="24"/>
          <w:szCs w:val="24"/>
        </w:rPr>
      </w:pPr>
      <w:r>
        <w:rPr>
          <w:rFonts w:hint="eastAsia" w:ascii="宋体" w:hAnsi="宋体" w:eastAsia="宋体" w:cs="宋体"/>
          <w:sz w:val="24"/>
          <w:szCs w:val="24"/>
        </w:rPr>
        <w:t>从磋商响应文件接收截止之日算起，</w:t>
      </w:r>
      <w:r>
        <w:rPr>
          <w:rFonts w:ascii="宋体" w:hAnsi="宋体" w:eastAsia="宋体" w:cs="宋体"/>
          <w:b/>
          <w:bCs/>
          <w:sz w:val="24"/>
          <w:szCs w:val="24"/>
        </w:rPr>
        <w:t>45</w:t>
      </w:r>
      <w:r>
        <w:rPr>
          <w:rFonts w:hint="eastAsia" w:ascii="宋体" w:hAnsi="宋体" w:eastAsia="宋体" w:cs="宋体"/>
          <w:sz w:val="24"/>
          <w:szCs w:val="24"/>
        </w:rPr>
        <w:t>个日历天内投标书应保持有效。有效期短于这个规定期限的投标，将被拒绝。</w:t>
      </w:r>
    </w:p>
    <w:p>
      <w:pPr>
        <w:spacing w:line="420" w:lineRule="exact"/>
        <w:ind w:firstLine="482" w:firstLineChars="200"/>
        <w:outlineLvl w:val="1"/>
        <w:rPr>
          <w:rFonts w:ascii="宋体" w:hAnsi="宋体" w:eastAsia="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、磋商响应文件的递交接收</w:t>
      </w:r>
    </w:p>
    <w:p>
      <w:pPr>
        <w:spacing w:line="420" w:lineRule="exact"/>
        <w:ind w:firstLine="480" w:firstLineChars="200"/>
        <w:rPr>
          <w:rFonts w:ascii="宋体" w:hAnsi="宋体" w:eastAsia="宋体"/>
          <w:sz w:val="24"/>
          <w:szCs w:val="24"/>
        </w:rPr>
      </w:pPr>
      <w:r>
        <w:rPr>
          <w:rFonts w:hint="eastAsia" w:ascii="宋体" w:hAnsi="宋体" w:eastAsia="宋体" w:cs="宋体"/>
          <w:sz w:val="24"/>
          <w:szCs w:val="24"/>
        </w:rPr>
        <w:t>磋商响应文件接收时间：</w:t>
      </w:r>
      <w:r>
        <w:rPr>
          <w:rFonts w:hint="eastAsia" w:ascii="宋体" w:hAnsi="宋体" w:eastAsia="宋体" w:cs="宋体"/>
          <w:b/>
          <w:sz w:val="24"/>
          <w:szCs w:val="24"/>
        </w:rPr>
        <w:t>2021年6月</w:t>
      </w:r>
      <w:r>
        <w:rPr>
          <w:rFonts w:hint="eastAsia" w:ascii="宋体" w:hAnsi="宋体" w:eastAsia="宋体" w:cs="宋体"/>
          <w:b/>
          <w:sz w:val="24"/>
          <w:szCs w:val="24"/>
          <w:lang w:val="en-US" w:eastAsia="zh-CN"/>
        </w:rPr>
        <w:t>23</w:t>
      </w:r>
      <w:r>
        <w:rPr>
          <w:rFonts w:hint="eastAsia" w:ascii="宋体" w:hAnsi="宋体" w:eastAsia="宋体" w:cs="宋体"/>
          <w:b/>
          <w:sz w:val="24"/>
          <w:szCs w:val="24"/>
        </w:rPr>
        <w:t>日上午8</w:t>
      </w:r>
      <w:r>
        <w:rPr>
          <w:rFonts w:hint="eastAsia" w:ascii="宋体" w:hAnsi="宋体" w:eastAsia="宋体" w:cs="宋体"/>
          <w:b/>
          <w:sz w:val="24"/>
          <w:szCs w:val="24"/>
          <w:lang w:eastAsia="zh-CN"/>
        </w:rPr>
        <w:t>：</w:t>
      </w:r>
      <w:r>
        <w:rPr>
          <w:rFonts w:hint="eastAsia" w:ascii="宋体" w:hAnsi="宋体" w:eastAsia="宋体" w:cs="宋体"/>
          <w:b/>
          <w:sz w:val="24"/>
          <w:szCs w:val="24"/>
        </w:rPr>
        <w:t>30——9</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0。</w:t>
      </w:r>
      <w:r>
        <w:rPr>
          <w:rFonts w:hint="eastAsia" w:ascii="宋体" w:hAnsi="宋体" w:eastAsia="宋体" w:cs="宋体"/>
          <w:sz w:val="24"/>
          <w:szCs w:val="24"/>
        </w:rPr>
        <w:t>地址：南通市工农北路150号南通人力资源大厦503办公室，如有变动另行通知。</w:t>
      </w:r>
    </w:p>
    <w:p>
      <w:pPr>
        <w:snapToGrid w:val="0"/>
        <w:spacing w:line="420" w:lineRule="exact"/>
        <w:ind w:firstLine="496" w:firstLineChars="206"/>
        <w:outlineLvl w:val="1"/>
        <w:rPr>
          <w:rFonts w:ascii="宋体" w:hAnsi="宋体" w:eastAsia="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二</w:t>
      </w:r>
      <w:r>
        <w:rPr>
          <w:rFonts w:hint="eastAsia" w:ascii="宋体" w:hAnsi="宋体" w:eastAsia="宋体" w:cs="宋体"/>
          <w:b/>
          <w:bCs/>
          <w:sz w:val="24"/>
          <w:szCs w:val="24"/>
        </w:rPr>
        <w:t>、磋商费用</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无论磋商过程和结果如何，供应商自行承担与本项目磋商有关的全部费用。</w:t>
      </w:r>
    </w:p>
    <w:p>
      <w:pPr>
        <w:snapToGrid w:val="0"/>
        <w:spacing w:line="420" w:lineRule="exact"/>
        <w:ind w:firstLine="496" w:firstLineChars="206"/>
        <w:outlineLvl w:val="1"/>
        <w:rPr>
          <w:rFonts w:ascii="宋体" w:hAnsi="宋体" w:eastAsia="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、保证金</w:t>
      </w:r>
    </w:p>
    <w:p>
      <w:pPr>
        <w:snapToGrid w:val="0"/>
        <w:spacing w:line="420" w:lineRule="exact"/>
        <w:ind w:firstLine="480" w:firstLineChars="200"/>
        <w:rPr>
          <w:rFonts w:hint="eastAsia" w:ascii="宋体" w:hAnsi="宋体" w:eastAsia="宋体" w:cs="宋体"/>
          <w:sz w:val="24"/>
          <w:szCs w:val="24"/>
          <w:u w:val="single"/>
          <w:lang w:val="zh-CN"/>
        </w:rPr>
      </w:pPr>
      <w:r>
        <w:rPr>
          <w:rFonts w:ascii="宋体" w:hAnsi="宋体" w:eastAsia="宋体" w:cs="宋体"/>
          <w:sz w:val="24"/>
          <w:szCs w:val="24"/>
          <w:lang w:val="zh-CN"/>
        </w:rPr>
        <w:t>1.</w:t>
      </w:r>
      <w:r>
        <w:rPr>
          <w:rFonts w:hint="eastAsia" w:ascii="宋体" w:hAnsi="宋体" w:eastAsia="宋体" w:cs="宋体"/>
          <w:sz w:val="24"/>
          <w:szCs w:val="24"/>
          <w:lang w:val="zh-CN"/>
        </w:rPr>
        <w:t>本次磋商收取</w:t>
      </w:r>
      <w:r>
        <w:rPr>
          <w:rFonts w:hint="eastAsia" w:ascii="宋体" w:hAnsi="宋体" w:eastAsia="宋体" w:cs="宋体"/>
          <w:b/>
          <w:bCs/>
          <w:sz w:val="24"/>
          <w:szCs w:val="24"/>
          <w:lang w:val="zh-CN"/>
        </w:rPr>
        <w:t>磋商保证金</w:t>
      </w:r>
      <w:r>
        <w:rPr>
          <w:rFonts w:hint="eastAsia" w:ascii="宋体" w:hAnsi="宋体" w:eastAsia="宋体" w:cs="宋体"/>
          <w:b w:val="0"/>
          <w:bCs w:val="0"/>
          <w:sz w:val="24"/>
          <w:szCs w:val="24"/>
          <w:u w:val="single"/>
          <w:lang w:val="en-US" w:eastAsia="zh-CN"/>
        </w:rPr>
        <w:t>3000</w:t>
      </w:r>
      <w:r>
        <w:rPr>
          <w:rFonts w:hint="eastAsia" w:ascii="宋体" w:hAnsi="宋体" w:eastAsia="宋体" w:cs="宋体"/>
          <w:b w:val="0"/>
          <w:bCs w:val="0"/>
          <w:sz w:val="24"/>
          <w:szCs w:val="24"/>
          <w:lang w:val="en-US" w:eastAsia="zh-CN"/>
        </w:rPr>
        <w:t>元</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供应商应携</w:t>
      </w:r>
      <w:r>
        <w:rPr>
          <w:rFonts w:hint="eastAsia" w:ascii="宋体" w:hAnsi="宋体" w:eastAsia="宋体" w:cs="宋体"/>
          <w:b w:val="0"/>
          <w:bCs w:val="0"/>
          <w:sz w:val="24"/>
          <w:szCs w:val="24"/>
          <w:u w:val="single"/>
          <w:lang w:val="en-US" w:eastAsia="zh-CN"/>
        </w:rPr>
        <w:t>磋商</w:t>
      </w:r>
      <w:r>
        <w:rPr>
          <w:rFonts w:hint="eastAsia" w:ascii="宋体" w:hAnsi="宋体" w:eastAsia="宋体" w:cs="宋体"/>
          <w:b w:val="0"/>
          <w:bCs w:val="0"/>
          <w:sz w:val="24"/>
          <w:szCs w:val="24"/>
          <w:u w:val="single"/>
          <w:lang w:val="zh-CN"/>
        </w:rPr>
        <w:t>保证金汇款凭证</w:t>
      </w:r>
      <w:r>
        <w:rPr>
          <w:rFonts w:hint="eastAsia" w:ascii="宋体" w:hAnsi="宋体" w:eastAsia="宋体" w:cs="宋体"/>
          <w:sz w:val="24"/>
          <w:szCs w:val="24"/>
          <w:u w:val="none"/>
          <w:lang w:val="zh-CN"/>
        </w:rPr>
        <w:t>及</w:t>
      </w:r>
      <w:r>
        <w:rPr>
          <w:rFonts w:hint="eastAsia" w:ascii="宋体" w:hAnsi="宋体" w:eastAsia="宋体" w:cs="宋体"/>
          <w:sz w:val="24"/>
          <w:szCs w:val="24"/>
          <w:u w:val="single"/>
          <w:lang w:val="zh-CN"/>
        </w:rPr>
        <w:t>资格审查材料文件</w:t>
      </w:r>
      <w:r>
        <w:rPr>
          <w:rFonts w:hint="eastAsia" w:ascii="宋体" w:hAnsi="宋体" w:eastAsia="宋体" w:cs="宋体"/>
          <w:sz w:val="24"/>
          <w:szCs w:val="24"/>
          <w:u w:val="none"/>
          <w:lang w:val="zh-CN"/>
        </w:rPr>
        <w:t>报名及资格审查。</w:t>
      </w:r>
    </w:p>
    <w:p>
      <w:pPr>
        <w:snapToGrid w:val="0"/>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bCs/>
          <w:sz w:val="24"/>
          <w:szCs w:val="24"/>
          <w:lang w:val="en-US" w:eastAsia="zh-CN"/>
        </w:rPr>
        <w:t>.磋商保证金的退还</w:t>
      </w:r>
      <w:r>
        <w:rPr>
          <w:rFonts w:hint="eastAsia" w:ascii="宋体" w:hAnsi="宋体" w:eastAsia="宋体" w:cs="宋体"/>
          <w:sz w:val="24"/>
          <w:szCs w:val="24"/>
          <w:lang w:val="en-US" w:eastAsia="zh-CN"/>
        </w:rPr>
        <w:t>：资格审核未通过的供应商，于资格审核后5个工作日内退还；资格审核通过的未中标供应商，于磋商结束后5个工作日内退还；</w:t>
      </w:r>
      <w:r>
        <w:rPr>
          <w:rFonts w:hint="eastAsia" w:ascii="宋体" w:hAnsi="宋体" w:eastAsia="宋体" w:cs="宋体"/>
          <w:sz w:val="24"/>
          <w:szCs w:val="24"/>
          <w:lang w:val="zh-CN"/>
        </w:rPr>
        <w:t>成交供应商于签订合同后</w:t>
      </w:r>
      <w:r>
        <w:rPr>
          <w:rFonts w:hint="eastAsia" w:ascii="宋体" w:hAnsi="宋体" w:eastAsia="宋体" w:cs="宋体"/>
          <w:sz w:val="24"/>
          <w:szCs w:val="24"/>
          <w:lang w:val="en-US" w:eastAsia="zh-CN"/>
        </w:rPr>
        <w:t>5个工作日内退还。</w:t>
      </w:r>
    </w:p>
    <w:p>
      <w:pPr>
        <w:snapToGrid w:val="0"/>
        <w:spacing w:line="420" w:lineRule="exact"/>
        <w:ind w:firstLine="480" w:firstLineChars="200"/>
        <w:rPr>
          <w:rFonts w:ascii="宋体" w:hAnsi="宋体" w:eastAsia="宋体"/>
          <w:sz w:val="24"/>
          <w:szCs w:val="24"/>
          <w:lang w:val="zh-CN"/>
        </w:rPr>
      </w:pPr>
      <w:r>
        <w:rPr>
          <w:rFonts w:hint="eastAsia" w:ascii="宋体" w:hAnsi="宋体" w:eastAsia="宋体" w:cs="宋体"/>
          <w:sz w:val="24"/>
          <w:szCs w:val="24"/>
          <w:lang w:val="en-US" w:eastAsia="zh-CN"/>
        </w:rPr>
        <w:t>3.成交供应商</w:t>
      </w:r>
      <w:r>
        <w:rPr>
          <w:rFonts w:hint="eastAsia" w:ascii="宋体" w:hAnsi="宋体" w:eastAsia="宋体" w:cs="宋体"/>
          <w:sz w:val="24"/>
          <w:szCs w:val="24"/>
          <w:lang w:val="zh-CN"/>
        </w:rPr>
        <w:t>在《成交通知书》发出签收后</w:t>
      </w:r>
      <w:r>
        <w:rPr>
          <w:rFonts w:ascii="宋体" w:hAnsi="宋体" w:eastAsia="宋体" w:cs="宋体"/>
          <w:b/>
          <w:bCs/>
          <w:sz w:val="24"/>
          <w:szCs w:val="24"/>
          <w:u w:val="single"/>
        </w:rPr>
        <w:t>5</w:t>
      </w:r>
      <w:r>
        <w:rPr>
          <w:rFonts w:hint="eastAsia" w:ascii="宋体" w:hAnsi="宋体" w:eastAsia="宋体" w:cs="宋体"/>
          <w:sz w:val="24"/>
          <w:szCs w:val="24"/>
          <w:lang w:val="zh-CN"/>
        </w:rPr>
        <w:t>个工作日内缴纳</w:t>
      </w:r>
      <w:r>
        <w:rPr>
          <w:rFonts w:hint="eastAsia" w:ascii="宋体" w:hAnsi="宋体" w:eastAsia="宋体" w:cs="宋体"/>
          <w:b/>
          <w:bCs/>
          <w:sz w:val="24"/>
          <w:szCs w:val="24"/>
          <w:lang w:val="zh-CN"/>
        </w:rPr>
        <w:t>履约保证金</w:t>
      </w:r>
      <w:r>
        <w:rPr>
          <w:rFonts w:hint="eastAsia" w:ascii="宋体" w:hAnsi="宋体" w:eastAsia="宋体" w:cs="宋体"/>
          <w:sz w:val="24"/>
          <w:szCs w:val="24"/>
          <w:lang w:val="zh-CN"/>
        </w:rPr>
        <w:t>，</w:t>
      </w:r>
      <w:r>
        <w:rPr>
          <w:rFonts w:hint="eastAsia" w:ascii="宋体" w:hAnsi="宋体" w:eastAsia="宋体" w:cs="宋体"/>
          <w:sz w:val="24"/>
          <w:szCs w:val="24"/>
          <w:lang w:eastAsia="zh-CN"/>
        </w:rPr>
        <w:t>金额</w:t>
      </w:r>
      <w:r>
        <w:rPr>
          <w:rFonts w:hint="eastAsia" w:ascii="宋体" w:hAnsi="宋体" w:eastAsia="宋体" w:cs="宋体"/>
          <w:sz w:val="24"/>
          <w:szCs w:val="24"/>
          <w:lang w:val="zh-CN"/>
        </w:rPr>
        <w:t>为项目合同总价款的</w:t>
      </w:r>
      <w:r>
        <w:rPr>
          <w:rFonts w:hint="eastAsia" w:ascii="宋体" w:hAnsi="宋体" w:eastAsia="宋体" w:cs="宋体"/>
          <w:sz w:val="24"/>
          <w:szCs w:val="24"/>
          <w:u w:val="single"/>
        </w:rPr>
        <w:t>10</w:t>
      </w:r>
      <w:r>
        <w:rPr>
          <w:rFonts w:ascii="宋体" w:hAnsi="宋体" w:eastAsia="宋体" w:cs="宋体"/>
          <w:b/>
          <w:bCs/>
          <w:sz w:val="24"/>
          <w:szCs w:val="24"/>
          <w:u w:val="single"/>
          <w:lang w:val="zh-CN"/>
        </w:rPr>
        <w:t xml:space="preserve">%  </w:t>
      </w:r>
      <w:r>
        <w:rPr>
          <w:rFonts w:hint="eastAsia" w:ascii="宋体" w:hAnsi="宋体" w:eastAsia="宋体" w:cs="宋体"/>
          <w:b/>
          <w:bCs/>
          <w:sz w:val="24"/>
          <w:szCs w:val="24"/>
          <w:u w:val="none"/>
          <w:lang w:val="zh-CN"/>
        </w:rPr>
        <w:t>。</w:t>
      </w:r>
      <w:r>
        <w:rPr>
          <w:rFonts w:hint="eastAsia" w:ascii="宋体" w:hAnsi="宋体" w:eastAsia="宋体" w:cs="宋体"/>
          <w:sz w:val="24"/>
          <w:szCs w:val="24"/>
          <w:lang w:val="en-US" w:eastAsia="zh-CN"/>
        </w:rPr>
        <w:t>成交供应商</w:t>
      </w:r>
      <w:r>
        <w:rPr>
          <w:rFonts w:hint="eastAsia" w:ascii="宋体" w:hAnsi="宋体" w:eastAsia="宋体" w:cs="宋体"/>
          <w:sz w:val="24"/>
          <w:szCs w:val="24"/>
          <w:lang w:val="zh-CN"/>
        </w:rPr>
        <w:t>按要求保质保量的完成该项目且通过最终验收后，一次性无息退还履约保证金。</w:t>
      </w:r>
    </w:p>
    <w:p>
      <w:pPr>
        <w:snapToGrid w:val="0"/>
        <w:spacing w:line="4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en-US" w:eastAsia="zh-CN"/>
        </w:rPr>
        <w:t>4</w:t>
      </w:r>
      <w:r>
        <w:rPr>
          <w:rFonts w:ascii="宋体" w:hAnsi="宋体" w:eastAsia="宋体" w:cs="宋体"/>
          <w:sz w:val="24"/>
          <w:szCs w:val="24"/>
          <w:lang w:val="zh-CN"/>
        </w:rPr>
        <w:t>.</w:t>
      </w:r>
      <w:r>
        <w:rPr>
          <w:rFonts w:hint="eastAsia" w:ascii="宋体" w:hAnsi="宋体" w:eastAsia="宋体" w:cs="宋体"/>
          <w:sz w:val="24"/>
          <w:szCs w:val="24"/>
          <w:lang w:val="zh-CN"/>
        </w:rPr>
        <w:t>因中标人原因，签订合同后出现不按合同履行的情况，采购人有权将履约保证金作为违约金，全额不予退还，同时采购人亦有权终止合同，中标人还须依法承担相应的赔偿责任。</w:t>
      </w:r>
    </w:p>
    <w:p>
      <w:pPr>
        <w:snapToGrid w:val="0"/>
        <w:spacing w:line="4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收款账户：</w:t>
      </w:r>
      <w:r>
        <w:rPr>
          <w:rFonts w:hint="eastAsia" w:ascii="宋体" w:hAnsi="宋体" w:eastAsia="宋体" w:cs="宋体"/>
          <w:sz w:val="24"/>
          <w:szCs w:val="24"/>
        </w:rPr>
        <w:t xml:space="preserve">南通市财政局 </w:t>
      </w:r>
    </w:p>
    <w:p>
      <w:pPr>
        <w:snapToGrid w:val="0"/>
        <w:spacing w:line="4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  银行账号：89011015201010003877</w:t>
      </w:r>
    </w:p>
    <w:p>
      <w:pPr>
        <w:snapToGrid w:val="0"/>
        <w:spacing w:line="420" w:lineRule="exact"/>
        <w:ind w:firstLine="720" w:firstLineChars="300"/>
        <w:rPr>
          <w:rFonts w:ascii="宋体" w:hAnsi="宋体" w:eastAsia="宋体" w:cs="宋体"/>
          <w:sz w:val="24"/>
          <w:szCs w:val="24"/>
          <w:lang w:val="zh-CN"/>
        </w:rPr>
      </w:pPr>
      <w:r>
        <w:rPr>
          <w:rFonts w:hint="eastAsia" w:ascii="宋体" w:hAnsi="宋体" w:eastAsia="宋体" w:cs="宋体"/>
          <w:sz w:val="24"/>
          <w:szCs w:val="24"/>
          <w:lang w:val="zh-CN"/>
        </w:rPr>
        <w:t>开户银行： 江苏银行南通崇川支行</w:t>
      </w:r>
    </w:p>
    <w:p>
      <w:pPr>
        <w:snapToGrid w:val="0"/>
        <w:spacing w:line="420" w:lineRule="exact"/>
        <w:ind w:left="478" w:leftChars="184" w:firstLine="240" w:firstLineChars="100"/>
        <w:rPr>
          <w:rFonts w:ascii="宋体" w:hAnsi="宋体" w:eastAsia="宋体" w:cs="宋体"/>
          <w:sz w:val="24"/>
          <w:szCs w:val="24"/>
        </w:rPr>
      </w:pPr>
      <w:r>
        <w:rPr>
          <w:rFonts w:hint="eastAsia" w:ascii="宋体" w:hAnsi="宋体" w:eastAsia="宋体" w:cs="宋体"/>
          <w:sz w:val="24"/>
          <w:szCs w:val="24"/>
          <w:lang w:val="zh-CN"/>
        </w:rPr>
        <w:t>备注：资源中心标识标牌（磋商</w:t>
      </w:r>
      <w:r>
        <w:rPr>
          <w:rFonts w:hint="eastAsia" w:ascii="宋体" w:hAnsi="宋体" w:eastAsia="宋体" w:cs="宋体"/>
          <w:sz w:val="24"/>
          <w:szCs w:val="24"/>
          <w:lang w:val="en-US" w:eastAsia="zh-CN"/>
        </w:rPr>
        <w:t>/履约</w:t>
      </w:r>
      <w:r>
        <w:rPr>
          <w:rFonts w:hint="eastAsia" w:ascii="宋体" w:hAnsi="宋体" w:eastAsia="宋体" w:cs="宋体"/>
          <w:sz w:val="24"/>
          <w:szCs w:val="24"/>
          <w:lang w:val="zh-CN"/>
        </w:rPr>
        <w:t>）保证金</w:t>
      </w:r>
    </w:p>
    <w:p>
      <w:pPr>
        <w:snapToGrid w:val="0"/>
        <w:spacing w:line="420" w:lineRule="exact"/>
        <w:ind w:firstLine="496" w:firstLineChars="206"/>
        <w:outlineLvl w:val="1"/>
        <w:rPr>
          <w:rFonts w:ascii="宋体" w:hAnsi="宋体" w:eastAsia="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、服务量的调整及结算方式</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如因采购人实际需求，服务量发生变化，</w:t>
      </w:r>
      <w:r>
        <w:rPr>
          <w:rFonts w:hint="eastAsia" w:ascii="宋体" w:hAnsi="宋体" w:eastAsia="宋体" w:cs="宋体"/>
          <w:sz w:val="24"/>
          <w:szCs w:val="24"/>
          <w:lang w:val="zh-CN"/>
        </w:rPr>
        <w:t>成交人</w:t>
      </w:r>
      <w:r>
        <w:rPr>
          <w:rFonts w:hint="eastAsia" w:ascii="宋体" w:hAnsi="宋体" w:eastAsia="宋体" w:cs="宋体"/>
          <w:sz w:val="24"/>
          <w:szCs w:val="24"/>
        </w:rPr>
        <w:t>须无条件满足采购人需求，确保服务质量并及时提供服务。</w:t>
      </w:r>
    </w:p>
    <w:p>
      <w:pPr>
        <w:snapToGrid w:val="0"/>
        <w:spacing w:line="420" w:lineRule="exact"/>
        <w:ind w:firstLine="494" w:firstLineChars="206"/>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结算时按实际服务量进行结算，综合单价不变。若成交总价与项目首次磋商响应报价明细表中的综合单价不符，则按比例拆分到综合单价。</w:t>
      </w:r>
    </w:p>
    <w:p>
      <w:pPr>
        <w:snapToGrid w:val="0"/>
        <w:spacing w:line="420" w:lineRule="exact"/>
        <w:ind w:firstLine="496" w:firstLineChars="206"/>
        <w:outlineLvl w:val="1"/>
        <w:rPr>
          <w:rFonts w:ascii="宋体" w:hAnsi="宋体" w:eastAsia="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五</w:t>
      </w:r>
      <w:r>
        <w:rPr>
          <w:rFonts w:hint="eastAsia" w:ascii="宋体" w:hAnsi="宋体" w:eastAsia="宋体" w:cs="宋体"/>
          <w:b/>
          <w:bCs/>
          <w:sz w:val="24"/>
          <w:szCs w:val="24"/>
        </w:rPr>
        <w:t>、付款方式</w:t>
      </w:r>
    </w:p>
    <w:p>
      <w:pPr>
        <w:snapToGrid w:val="0"/>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付款方式不接受负偏离及任何意图改变付款方式的意图表达，否则作无效磋商处理。</w:t>
      </w:r>
    </w:p>
    <w:p>
      <w:pPr>
        <w:snapToGrid w:val="0"/>
        <w:spacing w:line="420" w:lineRule="exact"/>
        <w:ind w:firstLine="480" w:firstLineChars="200"/>
        <w:outlineLvl w:val="1"/>
        <w:rPr>
          <w:rFonts w:ascii="宋体" w:hAnsi="宋体" w:eastAsia="宋体"/>
          <w:sz w:val="24"/>
          <w:szCs w:val="24"/>
          <w:lang w:val="zh-CN"/>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双方合同签订后，中标人交付全部施工图设计文件并通过审查，项目竣工验收合格后付至合同总额的</w:t>
      </w:r>
      <w:r>
        <w:rPr>
          <w:rFonts w:ascii="宋体" w:hAnsi="宋体" w:eastAsia="宋体" w:cs="宋体"/>
          <w:sz w:val="24"/>
          <w:szCs w:val="24"/>
        </w:rPr>
        <w:t>9</w:t>
      </w:r>
      <w:r>
        <w:rPr>
          <w:rFonts w:hint="eastAsia" w:ascii="宋体" w:hAnsi="宋体" w:eastAsia="宋体" w:cs="宋体"/>
          <w:sz w:val="24"/>
          <w:szCs w:val="24"/>
        </w:rPr>
        <w:t>0</w:t>
      </w:r>
      <w:r>
        <w:rPr>
          <w:rFonts w:ascii="宋体" w:hAnsi="宋体" w:eastAsia="宋体" w:cs="宋体"/>
          <w:sz w:val="24"/>
          <w:szCs w:val="24"/>
        </w:rPr>
        <w:t>%</w:t>
      </w:r>
      <w:r>
        <w:rPr>
          <w:rFonts w:hint="eastAsia" w:ascii="宋体" w:hAnsi="宋体" w:eastAsia="宋体" w:cs="宋体"/>
          <w:sz w:val="24"/>
          <w:szCs w:val="24"/>
        </w:rPr>
        <w:t>，余款待质保期满后90日</w:t>
      </w:r>
      <w:r>
        <w:rPr>
          <w:rFonts w:hint="eastAsia" w:ascii="宋体" w:hAnsi="宋体" w:eastAsia="宋体" w:cs="宋体"/>
          <w:sz w:val="24"/>
          <w:szCs w:val="24"/>
          <w:lang w:val="zh-CN"/>
        </w:rPr>
        <w:t>内一次性无息付清。</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六</w:t>
      </w:r>
      <w:r>
        <w:rPr>
          <w:rFonts w:hint="eastAsia" w:ascii="宋体" w:hAnsi="宋体" w:eastAsia="宋体" w:cs="宋体"/>
          <w:b/>
          <w:bCs/>
          <w:sz w:val="24"/>
          <w:szCs w:val="24"/>
        </w:rPr>
        <w:t>、知识产权</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供应商必须保证所提供的服务涉及到的知识产权为合法取得，并享有完整的知识产权，不会因为采购人的使用而被责令停止使用、追偿或要求赔偿损失，如出现此情况，一切经济和法律责任均由供应商承担。</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七</w:t>
      </w:r>
      <w:r>
        <w:rPr>
          <w:rFonts w:hint="eastAsia" w:ascii="宋体" w:hAnsi="宋体" w:eastAsia="宋体" w:cs="宋体"/>
          <w:b/>
          <w:bCs/>
          <w:sz w:val="24"/>
          <w:szCs w:val="24"/>
        </w:rPr>
        <w:t>、未尽事宜</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按《中华人民共和国政府采购法》及《政府采购竞争性磋商采购方式管理暂行办法》与其他有关法律法规的规定执行。</w:t>
      </w: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firstLineChars="175"/>
        <w:rPr>
          <w:rFonts w:cs="Times New Roman"/>
        </w:rPr>
      </w:pPr>
    </w:p>
    <w:p>
      <w:pPr>
        <w:pStyle w:val="2"/>
        <w:spacing w:before="120"/>
        <w:ind w:left="0" w:leftChars="0" w:firstLine="0" w:firstLineChars="0"/>
        <w:rPr>
          <w:rFonts w:cs="Times New Roman"/>
        </w:rPr>
      </w:pPr>
    </w:p>
    <w:p>
      <w:pPr>
        <w:pStyle w:val="2"/>
        <w:spacing w:before="120"/>
        <w:ind w:firstLine="0" w:firstLineChars="0"/>
        <w:jc w:val="center"/>
        <w:rPr>
          <w:rFonts w:ascii="宋体" w:hAnsi="宋体" w:eastAsia="宋体" w:cs="Times New Roman"/>
          <w:b/>
          <w:bCs/>
          <w:w w:val="80"/>
          <w:sz w:val="36"/>
          <w:szCs w:val="36"/>
        </w:rPr>
      </w:pPr>
      <w:r>
        <w:rPr>
          <w:rFonts w:hint="eastAsia" w:ascii="宋体" w:hAnsi="宋体" w:eastAsia="宋体" w:cs="宋体"/>
          <w:b/>
          <w:bCs/>
          <w:w w:val="80"/>
          <w:sz w:val="36"/>
          <w:szCs w:val="36"/>
        </w:rPr>
        <w:t>第三章</w:t>
      </w:r>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rPr>
        <w:t>项目需求</w:t>
      </w:r>
    </w:p>
    <w:p>
      <w:pPr>
        <w:spacing w:line="420" w:lineRule="exact"/>
        <w:ind w:firstLine="482" w:firstLineChars="200"/>
        <w:rPr>
          <w:rFonts w:ascii="宋体" w:hAnsi="宋体" w:eastAsia="宋体"/>
          <w:b/>
          <w:bCs/>
          <w:sz w:val="24"/>
          <w:szCs w:val="24"/>
        </w:rPr>
      </w:pPr>
      <w:bookmarkStart w:id="3" w:name="_Toc13543213"/>
      <w:r>
        <w:rPr>
          <w:rFonts w:hint="eastAsia" w:ascii="宋体" w:hAnsi="宋体" w:eastAsia="宋体" w:cs="宋体"/>
          <w:b/>
          <w:bCs/>
          <w:sz w:val="24"/>
          <w:szCs w:val="24"/>
        </w:rPr>
        <w:t>一、项目基本情况</w:t>
      </w:r>
    </w:p>
    <w:p>
      <w:pPr>
        <w:spacing w:line="420" w:lineRule="exact"/>
        <w:ind w:firstLine="480"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项目名称：南通人力资源大厦标识标牌设计制作安装项目。</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项目地址与范围：南通人力资源大厦（</w:t>
      </w:r>
      <w:r>
        <w:rPr>
          <w:rFonts w:hint="eastAsia" w:ascii="宋体" w:hAnsi="宋体" w:eastAsia="宋体" w:cs="宋体"/>
          <w:sz w:val="24"/>
          <w:szCs w:val="24"/>
          <w:lang w:eastAsia="zh-CN"/>
        </w:rPr>
        <w:t>南通</w:t>
      </w:r>
      <w:r>
        <w:rPr>
          <w:rFonts w:hint="eastAsia" w:ascii="宋体" w:hAnsi="宋体" w:eastAsia="宋体" w:cs="宋体"/>
          <w:sz w:val="24"/>
          <w:szCs w:val="24"/>
        </w:rPr>
        <w:t>市工农北路150号）。</w:t>
      </w:r>
    </w:p>
    <w:p>
      <w:pPr>
        <w:spacing w:line="420" w:lineRule="exact"/>
        <w:ind w:firstLine="480" w:firstLineChars="200"/>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预算金额：17万元。</w:t>
      </w:r>
    </w:p>
    <w:p>
      <w:pPr>
        <w:spacing w:line="420" w:lineRule="exact"/>
        <w:ind w:firstLine="480" w:firstLineChars="200"/>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合同履行期限：合同签订后</w:t>
      </w:r>
      <w:r>
        <w:rPr>
          <w:rFonts w:ascii="宋体" w:hAnsi="宋体" w:eastAsia="宋体" w:cs="宋体"/>
          <w:sz w:val="24"/>
          <w:szCs w:val="24"/>
        </w:rPr>
        <w:t>20</w:t>
      </w:r>
      <w:r>
        <w:rPr>
          <w:rFonts w:hint="eastAsia" w:ascii="宋体" w:hAnsi="宋体" w:eastAsia="宋体" w:cs="宋体"/>
          <w:sz w:val="24"/>
          <w:szCs w:val="24"/>
        </w:rPr>
        <w:t>个日历天内完成交货并安装调试。</w:t>
      </w:r>
    </w:p>
    <w:p>
      <w:pPr>
        <w:spacing w:line="420" w:lineRule="exact"/>
        <w:ind w:firstLine="482" w:firstLineChars="200"/>
        <w:rPr>
          <w:rFonts w:ascii="宋体" w:hAnsi="宋体" w:eastAsia="宋体"/>
          <w:b/>
          <w:bCs/>
          <w:sz w:val="24"/>
          <w:szCs w:val="24"/>
        </w:rPr>
      </w:pPr>
      <w:r>
        <w:rPr>
          <w:rFonts w:hint="eastAsia" w:ascii="宋体" w:hAnsi="宋体" w:eastAsia="宋体" w:cs="宋体"/>
          <w:b/>
          <w:bCs/>
          <w:sz w:val="24"/>
          <w:szCs w:val="24"/>
        </w:rPr>
        <w:t>二、采购项目需求</w:t>
      </w:r>
    </w:p>
    <w:p>
      <w:pPr>
        <w:spacing w:line="420" w:lineRule="exact"/>
        <w:ind w:firstLine="480" w:firstLineChars="200"/>
        <w:rPr>
          <w:rFonts w:ascii="宋体" w:hAnsi="宋体" w:eastAsia="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设计施工基本要求</w:t>
      </w:r>
    </w:p>
    <w:p>
      <w:pPr>
        <w:spacing w:line="420" w:lineRule="exact"/>
        <w:ind w:firstLine="480" w:firstLineChars="200"/>
        <w:rPr>
          <w:rFonts w:ascii="宋体" w:hAnsi="宋体" w:eastAsia="宋体"/>
          <w:sz w:val="24"/>
          <w:szCs w:val="24"/>
        </w:rPr>
      </w:pPr>
      <w:r>
        <w:rPr>
          <w:rFonts w:hint="eastAsia" w:ascii="宋体" w:hAnsi="宋体" w:eastAsia="宋体" w:cs="宋体"/>
          <w:sz w:val="24"/>
          <w:szCs w:val="24"/>
        </w:rPr>
        <w:t>符合南通人力资源服务中心的功能定位，整体设计造型简约大气，材质环保、牢固耐用，施工安全保障到位，环境污染控制在规范标准以内。</w:t>
      </w:r>
    </w:p>
    <w:p>
      <w:pPr>
        <w:spacing w:line="420" w:lineRule="exact"/>
        <w:ind w:firstLine="480" w:firstLineChars="200"/>
        <w:rPr>
          <w:rFonts w:ascii="宋体" w:hAnsi="宋体" w:eastAsia="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设计施工内容（详见项目需求清单）</w:t>
      </w:r>
    </w:p>
    <w:p>
      <w:pPr>
        <w:spacing w:line="420" w:lineRule="exact"/>
        <w:ind w:firstLine="482" w:firstLineChars="200"/>
        <w:rPr>
          <w:rFonts w:ascii="宋体" w:hAnsi="宋体" w:eastAsia="宋体"/>
          <w:b/>
          <w:bCs/>
          <w:sz w:val="24"/>
          <w:szCs w:val="24"/>
        </w:rPr>
      </w:pPr>
      <w:r>
        <w:rPr>
          <w:rFonts w:hint="eastAsia" w:ascii="宋体" w:hAnsi="宋体" w:eastAsia="宋体" w:cs="宋体"/>
          <w:b/>
          <w:bCs/>
          <w:sz w:val="24"/>
          <w:szCs w:val="24"/>
        </w:rPr>
        <w:t>三、现场勘察</w:t>
      </w:r>
    </w:p>
    <w:p>
      <w:pPr>
        <w:spacing w:line="420" w:lineRule="exact"/>
        <w:ind w:firstLine="480" w:firstLineChars="200"/>
        <w:rPr>
          <w:rFonts w:ascii="宋体" w:hAnsi="宋体" w:eastAsia="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根据自身需要，供应商可在磋商文件递交日前自行对有关现场和周围环境进行勘察，以获取编制磋商响应文件所需的信息。勘察现场如有费用产生，由供应商自行承担。</w:t>
      </w:r>
    </w:p>
    <w:p>
      <w:pPr>
        <w:spacing w:line="420" w:lineRule="exact"/>
        <w:ind w:firstLine="480" w:firstLineChars="200"/>
        <w:rPr>
          <w:rFonts w:ascii="宋体" w:hAnsi="宋体" w:eastAsia="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勘察现场联系人：施婕妤，联系电话：83559096。</w:t>
      </w:r>
    </w:p>
    <w:p>
      <w:pPr>
        <w:pStyle w:val="2"/>
        <w:spacing w:before="120"/>
        <w:ind w:firstLine="480" w:firstLineChars="200"/>
        <w:rPr>
          <w:rFonts w:ascii="宋体" w:hAnsi="宋体" w:eastAsia="宋体" w:cs="Times New Roman"/>
        </w:rPr>
        <w:sectPr>
          <w:footerReference r:id="rId8" w:type="default"/>
          <w:pgSz w:w="11906" w:h="16838"/>
          <w:pgMar w:top="1276" w:right="851" w:bottom="709" w:left="1418" w:header="851" w:footer="448" w:gutter="0"/>
          <w:pgNumType w:start="1"/>
          <w:cols w:space="720" w:num="1"/>
          <w:docGrid w:linePitch="380" w:charSpace="-5735"/>
        </w:sectPr>
      </w:pPr>
    </w:p>
    <w:p>
      <w:pPr>
        <w:jc w:val="center"/>
        <w:rPr>
          <w:rFonts w:ascii="方正大标宋简体" w:hAnsi="方正大标宋简体" w:eastAsia="方正大标宋简体"/>
          <w:sz w:val="36"/>
          <w:szCs w:val="36"/>
        </w:rPr>
      </w:pPr>
      <w:r>
        <w:rPr>
          <w:rFonts w:hint="eastAsia" w:ascii="方正大标宋简体" w:hAnsi="方正大标宋简体" w:eastAsia="方正大标宋简体" w:cs="方正大标宋简体"/>
          <w:sz w:val="36"/>
          <w:szCs w:val="36"/>
        </w:rPr>
        <w:t>南通人力资源大厦标识标牌设计制作安装项目需求清单</w:t>
      </w:r>
    </w:p>
    <w:p/>
    <w:tbl>
      <w:tblPr>
        <w:tblStyle w:val="47"/>
        <w:tblW w:w="15183" w:type="dxa"/>
        <w:tblInd w:w="93" w:type="dxa"/>
        <w:tblLayout w:type="autofit"/>
        <w:tblCellMar>
          <w:top w:w="0" w:type="dxa"/>
          <w:left w:w="108" w:type="dxa"/>
          <w:bottom w:w="0" w:type="dxa"/>
          <w:right w:w="108" w:type="dxa"/>
        </w:tblCellMar>
      </w:tblPr>
      <w:tblGrid>
        <w:gridCol w:w="439"/>
        <w:gridCol w:w="1616"/>
        <w:gridCol w:w="3630"/>
        <w:gridCol w:w="2837"/>
        <w:gridCol w:w="991"/>
        <w:gridCol w:w="850"/>
        <w:gridCol w:w="4820"/>
      </w:tblGrid>
      <w:tr>
        <w:tblPrEx>
          <w:tblCellMar>
            <w:top w:w="0" w:type="dxa"/>
            <w:left w:w="108" w:type="dxa"/>
            <w:bottom w:w="0" w:type="dxa"/>
            <w:right w:w="108" w:type="dxa"/>
          </w:tblCellMar>
        </w:tblPrEx>
        <w:trPr>
          <w:trHeight w:val="552" w:hRule="atLeast"/>
        </w:trPr>
        <w:tc>
          <w:tcPr>
            <w:tcW w:w="439"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cs="Arial"/>
                <w:b/>
                <w:bCs/>
                <w:kern w:val="0"/>
                <w:sz w:val="22"/>
                <w:szCs w:val="24"/>
              </w:rPr>
            </w:pPr>
            <w:r>
              <w:rPr>
                <w:rFonts w:hint="eastAsia" w:ascii="宋体" w:hAnsi="宋体" w:cs="Arial"/>
                <w:b/>
                <w:bCs/>
                <w:kern w:val="0"/>
                <w:sz w:val="22"/>
                <w:szCs w:val="24"/>
              </w:rPr>
              <w:t>序号</w:t>
            </w:r>
          </w:p>
        </w:tc>
        <w:tc>
          <w:tcPr>
            <w:tcW w:w="0" w:type="auto"/>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Arial"/>
                <w:b/>
                <w:bCs/>
                <w:kern w:val="0"/>
                <w:sz w:val="22"/>
                <w:szCs w:val="24"/>
              </w:rPr>
            </w:pPr>
            <w:r>
              <w:rPr>
                <w:rFonts w:hint="eastAsia" w:ascii="宋体" w:hAnsi="宋体" w:cs="Arial"/>
                <w:b/>
                <w:bCs/>
                <w:kern w:val="0"/>
                <w:sz w:val="22"/>
                <w:szCs w:val="24"/>
              </w:rPr>
              <w:t>类别</w:t>
            </w:r>
          </w:p>
        </w:tc>
        <w:tc>
          <w:tcPr>
            <w:tcW w:w="363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宋体" w:hAnsi="宋体" w:cs="Arial"/>
                <w:b/>
                <w:bCs/>
                <w:kern w:val="0"/>
                <w:sz w:val="22"/>
                <w:szCs w:val="24"/>
              </w:rPr>
            </w:pPr>
            <w:r>
              <w:rPr>
                <w:rFonts w:hint="eastAsia" w:ascii="宋体" w:hAnsi="宋体" w:cs="Arial"/>
                <w:b/>
                <w:bCs/>
                <w:kern w:val="0"/>
                <w:sz w:val="22"/>
                <w:szCs w:val="24"/>
              </w:rPr>
              <w:t>细项</w:t>
            </w:r>
          </w:p>
        </w:tc>
        <w:tc>
          <w:tcPr>
            <w:tcW w:w="2837"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Arial"/>
                <w:b/>
                <w:bCs/>
                <w:kern w:val="0"/>
                <w:sz w:val="22"/>
                <w:szCs w:val="24"/>
              </w:rPr>
            </w:pPr>
            <w:r>
              <w:rPr>
                <w:rFonts w:hint="eastAsia" w:ascii="宋体" w:hAnsi="宋体" w:cs="Arial"/>
                <w:b/>
                <w:bCs/>
                <w:kern w:val="0"/>
                <w:sz w:val="22"/>
                <w:szCs w:val="24"/>
              </w:rPr>
              <w:t>参考规格/mm</w:t>
            </w:r>
          </w:p>
        </w:tc>
        <w:tc>
          <w:tcPr>
            <w:tcW w:w="991"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Arial"/>
                <w:b/>
                <w:bCs/>
                <w:kern w:val="0"/>
                <w:sz w:val="22"/>
                <w:szCs w:val="24"/>
              </w:rPr>
            </w:pPr>
            <w:r>
              <w:rPr>
                <w:rFonts w:hint="eastAsia" w:ascii="宋体" w:hAnsi="宋体" w:cs="Arial"/>
                <w:b/>
                <w:bCs/>
                <w:kern w:val="0"/>
                <w:sz w:val="22"/>
                <w:szCs w:val="24"/>
              </w:rPr>
              <w:t>单位</w:t>
            </w:r>
          </w:p>
        </w:tc>
        <w:tc>
          <w:tcPr>
            <w:tcW w:w="85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Arial"/>
                <w:b/>
                <w:bCs/>
                <w:kern w:val="0"/>
                <w:sz w:val="22"/>
                <w:szCs w:val="24"/>
              </w:rPr>
            </w:pPr>
            <w:r>
              <w:rPr>
                <w:rFonts w:hint="eastAsia" w:ascii="宋体" w:hAnsi="宋体" w:cs="Arial"/>
                <w:b/>
                <w:bCs/>
                <w:kern w:val="0"/>
                <w:sz w:val="22"/>
                <w:szCs w:val="24"/>
              </w:rPr>
              <w:t>数量</w:t>
            </w:r>
          </w:p>
        </w:tc>
        <w:tc>
          <w:tcPr>
            <w:tcW w:w="4820"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Arial"/>
                <w:b/>
                <w:bCs/>
                <w:kern w:val="0"/>
                <w:sz w:val="22"/>
                <w:szCs w:val="24"/>
              </w:rPr>
            </w:pPr>
            <w:r>
              <w:rPr>
                <w:rFonts w:hint="eastAsia" w:ascii="宋体" w:hAnsi="宋体" w:cs="Arial"/>
                <w:b/>
                <w:bCs/>
                <w:kern w:val="0"/>
                <w:sz w:val="22"/>
                <w:szCs w:val="24"/>
              </w:rPr>
              <w:t>基本制作要求与面材要求</w:t>
            </w:r>
          </w:p>
        </w:tc>
      </w:tr>
      <w:tr>
        <w:tblPrEx>
          <w:tblCellMar>
            <w:top w:w="0" w:type="dxa"/>
            <w:left w:w="108" w:type="dxa"/>
            <w:bottom w:w="0" w:type="dxa"/>
            <w:right w:w="108" w:type="dxa"/>
          </w:tblCellMar>
        </w:tblPrEx>
        <w:trPr>
          <w:trHeight w:val="743" w:hRule="atLeast"/>
        </w:trPr>
        <w:tc>
          <w:tcPr>
            <w:tcW w:w="4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52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单层索引</w:t>
            </w:r>
          </w:p>
        </w:tc>
        <w:tc>
          <w:tcPr>
            <w:tcW w:w="28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宽1100*长2700  厚10</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两边拉丝不锈钢，中间白色不锈钢烤漆，图文丝印，挂墙安装</w:t>
            </w:r>
          </w:p>
        </w:tc>
      </w:tr>
      <w:tr>
        <w:tblPrEx>
          <w:tblCellMar>
            <w:top w:w="0" w:type="dxa"/>
            <w:left w:w="108" w:type="dxa"/>
            <w:bottom w:w="0" w:type="dxa"/>
            <w:right w:w="108" w:type="dxa"/>
          </w:tblCellMar>
        </w:tblPrEx>
        <w:trPr>
          <w:trHeight w:val="42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w:t>
            </w:r>
          </w:p>
        </w:tc>
        <w:tc>
          <w:tcPr>
            <w:tcW w:w="5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消防疏散图</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宽600*高600 厚10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不锈钢烤漆，内容丝印</w:t>
            </w:r>
          </w:p>
        </w:tc>
      </w:tr>
      <w:tr>
        <w:tblPrEx>
          <w:tblCellMar>
            <w:top w:w="0" w:type="dxa"/>
            <w:left w:w="108" w:type="dxa"/>
            <w:bottom w:w="0" w:type="dxa"/>
            <w:right w:w="108" w:type="dxa"/>
          </w:tblCellMar>
        </w:tblPrEx>
        <w:trPr>
          <w:trHeight w:val="405"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3</w:t>
            </w:r>
          </w:p>
        </w:tc>
        <w:tc>
          <w:tcPr>
            <w:tcW w:w="1616" w:type="dxa"/>
            <w:vMerge w:val="restart"/>
            <w:tcBorders>
              <w:top w:val="nil"/>
              <w:left w:val="single" w:color="auto" w:sz="4" w:space="0"/>
              <w:right w:val="single" w:color="auto" w:sz="4" w:space="0"/>
            </w:tcBorders>
            <w:shd w:val="clear" w:color="auto" w:fill="auto"/>
            <w:noWrap/>
            <w:vAlign w:val="center"/>
          </w:tcPr>
          <w:p>
            <w:pPr>
              <w:jc w:val="center"/>
              <w:rPr>
                <w:rFonts w:ascii="宋体" w:hAnsi="宋体" w:cs="Arial"/>
                <w:kern w:val="0"/>
                <w:sz w:val="20"/>
              </w:rPr>
            </w:pPr>
            <w:r>
              <w:rPr>
                <w:rFonts w:hint="eastAsia" w:ascii="宋体" w:hAnsi="宋体" w:cs="Arial"/>
                <w:kern w:val="0"/>
                <w:sz w:val="20"/>
              </w:rPr>
              <w:t>立体字</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电梯厅楼层号</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高300 厚20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9</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不锈钢立体字，不发光</w:t>
            </w:r>
          </w:p>
        </w:tc>
      </w:tr>
      <w:tr>
        <w:tblPrEx>
          <w:tblCellMar>
            <w:top w:w="0" w:type="dxa"/>
            <w:left w:w="108" w:type="dxa"/>
            <w:bottom w:w="0" w:type="dxa"/>
            <w:right w:w="108" w:type="dxa"/>
          </w:tblCellMar>
        </w:tblPrEx>
        <w:trPr>
          <w:trHeight w:val="42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w:t>
            </w:r>
          </w:p>
        </w:tc>
        <w:tc>
          <w:tcPr>
            <w:tcW w:w="1616" w:type="dxa"/>
            <w:vMerge w:val="continue"/>
            <w:tcBorders>
              <w:left w:val="single" w:color="auto" w:sz="4" w:space="0"/>
              <w:right w:val="single" w:color="auto" w:sz="4" w:space="0"/>
            </w:tcBorders>
            <w:vAlign w:val="center"/>
          </w:tcPr>
          <w:p>
            <w:pPr>
              <w:jc w:val="center"/>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电梯编号</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直径200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不锈钢底板烤漆；文字不锈钢立体字</w:t>
            </w:r>
          </w:p>
        </w:tc>
      </w:tr>
      <w:tr>
        <w:tblPrEx>
          <w:tblCellMar>
            <w:top w:w="0" w:type="dxa"/>
            <w:left w:w="108" w:type="dxa"/>
            <w:bottom w:w="0" w:type="dxa"/>
            <w:right w:w="108" w:type="dxa"/>
          </w:tblCellMar>
        </w:tblPrEx>
        <w:trPr>
          <w:trHeight w:val="41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5</w:t>
            </w:r>
          </w:p>
        </w:tc>
        <w:tc>
          <w:tcPr>
            <w:tcW w:w="1616" w:type="dxa"/>
            <w:vMerge w:val="continue"/>
            <w:tcBorders>
              <w:left w:val="single" w:color="auto" w:sz="4" w:space="0"/>
              <w:right w:val="single" w:color="auto" w:sz="4" w:space="0"/>
            </w:tcBorders>
            <w:shd w:val="clear" w:color="auto" w:fill="auto"/>
            <w:noWrap/>
            <w:vAlign w:val="center"/>
          </w:tcPr>
          <w:p>
            <w:pPr>
              <w:jc w:val="center"/>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为人民服务</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总长8000*高1500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不锈钢球面字，烤漆</w:t>
            </w:r>
          </w:p>
        </w:tc>
      </w:tr>
      <w:tr>
        <w:tblPrEx>
          <w:tblCellMar>
            <w:top w:w="0" w:type="dxa"/>
            <w:left w:w="108" w:type="dxa"/>
            <w:bottom w:w="0" w:type="dxa"/>
            <w:right w:w="108" w:type="dxa"/>
          </w:tblCellMar>
        </w:tblPrEx>
        <w:trPr>
          <w:trHeight w:val="409"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6</w:t>
            </w:r>
          </w:p>
        </w:tc>
        <w:tc>
          <w:tcPr>
            <w:tcW w:w="1616" w:type="dxa"/>
            <w:vMerge w:val="continue"/>
            <w:tcBorders>
              <w:left w:val="single" w:color="auto" w:sz="4" w:space="0"/>
              <w:right w:val="single" w:color="auto" w:sz="4" w:space="0"/>
            </w:tcBorders>
            <w:vAlign w:val="center"/>
          </w:tcPr>
          <w:p>
            <w:pPr>
              <w:jc w:val="center"/>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服务台</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字高200 厚15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不锈钢立体字</w:t>
            </w:r>
          </w:p>
        </w:tc>
      </w:tr>
      <w:tr>
        <w:tblPrEx>
          <w:tblCellMar>
            <w:top w:w="0" w:type="dxa"/>
            <w:left w:w="108" w:type="dxa"/>
            <w:bottom w:w="0" w:type="dxa"/>
            <w:right w:w="108" w:type="dxa"/>
          </w:tblCellMar>
        </w:tblPrEx>
        <w:trPr>
          <w:trHeight w:val="415"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7</w:t>
            </w:r>
          </w:p>
        </w:tc>
        <w:tc>
          <w:tcPr>
            <w:tcW w:w="1616" w:type="dxa"/>
            <w:vMerge w:val="continue"/>
            <w:tcBorders>
              <w:left w:val="single" w:color="auto" w:sz="4" w:space="0"/>
              <w:right w:val="single" w:color="auto" w:sz="4" w:space="0"/>
            </w:tcBorders>
            <w:shd w:val="clear" w:color="auto" w:fill="auto"/>
            <w:vAlign w:val="center"/>
          </w:tcPr>
          <w:p>
            <w:pPr>
              <w:jc w:val="center"/>
              <w:rPr>
                <w:rFonts w:ascii="宋体" w:hAnsi="宋体" w:cs="Arial"/>
                <w:color w:val="000000"/>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填表台、职业素质测评区等</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字高300 厚15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不锈钢立体字</w:t>
            </w:r>
          </w:p>
        </w:tc>
      </w:tr>
      <w:tr>
        <w:tblPrEx>
          <w:tblCellMar>
            <w:top w:w="0" w:type="dxa"/>
            <w:left w:w="108" w:type="dxa"/>
            <w:bottom w:w="0" w:type="dxa"/>
            <w:right w:w="108" w:type="dxa"/>
          </w:tblCellMar>
        </w:tblPrEx>
        <w:trPr>
          <w:trHeight w:val="352"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8</w:t>
            </w:r>
          </w:p>
        </w:tc>
        <w:tc>
          <w:tcPr>
            <w:tcW w:w="1616"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自助服务区</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字高200 厚15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不锈钢立体字</w:t>
            </w:r>
          </w:p>
        </w:tc>
      </w:tr>
      <w:tr>
        <w:tblPrEx>
          <w:tblCellMar>
            <w:top w:w="0" w:type="dxa"/>
            <w:left w:w="108" w:type="dxa"/>
            <w:bottom w:w="0" w:type="dxa"/>
            <w:right w:w="108" w:type="dxa"/>
          </w:tblCellMar>
        </w:tblPrEx>
        <w:trPr>
          <w:trHeight w:val="48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9</w:t>
            </w:r>
          </w:p>
        </w:tc>
        <w:tc>
          <w:tcPr>
            <w:tcW w:w="1616" w:type="dxa"/>
            <w:vMerge w:val="continue"/>
            <w:tcBorders>
              <w:left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自助简历区、职业指导区、休息等待区</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字高300 厚15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不锈钢立体字</w:t>
            </w:r>
          </w:p>
        </w:tc>
      </w:tr>
      <w:tr>
        <w:tblPrEx>
          <w:tblCellMar>
            <w:top w:w="0" w:type="dxa"/>
            <w:left w:w="108" w:type="dxa"/>
            <w:bottom w:w="0" w:type="dxa"/>
            <w:right w:w="108" w:type="dxa"/>
          </w:tblCellMar>
        </w:tblPrEx>
        <w:trPr>
          <w:trHeight w:val="419"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10</w:t>
            </w:r>
          </w:p>
        </w:tc>
        <w:tc>
          <w:tcPr>
            <w:tcW w:w="161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职业素质测评</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字高300 厚15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不锈钢立体字</w:t>
            </w:r>
          </w:p>
        </w:tc>
      </w:tr>
      <w:tr>
        <w:tblPrEx>
          <w:tblCellMar>
            <w:top w:w="0" w:type="dxa"/>
            <w:left w:w="108" w:type="dxa"/>
            <w:bottom w:w="0" w:type="dxa"/>
            <w:right w:w="108" w:type="dxa"/>
          </w:tblCellMar>
        </w:tblPrEx>
        <w:trPr>
          <w:trHeight w:val="41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11</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悬挂</w:t>
            </w:r>
          </w:p>
          <w:p>
            <w:pPr>
              <w:widowControl/>
              <w:jc w:val="center"/>
              <w:rPr>
                <w:rFonts w:ascii="宋体" w:hAnsi="宋体" w:cs="Arial"/>
                <w:kern w:val="0"/>
                <w:sz w:val="20"/>
              </w:rPr>
            </w:pPr>
            <w:r>
              <w:rPr>
                <w:rFonts w:hint="eastAsia" w:ascii="宋体" w:hAnsi="宋体" w:cs="Arial"/>
                <w:kern w:val="0"/>
                <w:sz w:val="20"/>
              </w:rPr>
              <w:t>指引牌类</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仿宋_GB2312" w:eastAsia="仿宋_GB2312" w:cs="仿宋_GB2312"/>
                <w:sz w:val="28"/>
                <w:szCs w:val="28"/>
              </w:rPr>
              <w:t>★</w:t>
            </w:r>
            <w:r>
              <w:rPr>
                <w:rFonts w:hint="eastAsia" w:ascii="宋体" w:hAnsi="宋体" w:cs="Arial"/>
                <w:color w:val="000000"/>
                <w:kern w:val="0"/>
                <w:sz w:val="20"/>
              </w:rPr>
              <w:t>指引吊牌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宽1800*高300*厚120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15</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不锈钢烤漆，图文丝印</w:t>
            </w:r>
          </w:p>
        </w:tc>
      </w:tr>
      <w:tr>
        <w:tblPrEx>
          <w:tblCellMar>
            <w:top w:w="0" w:type="dxa"/>
            <w:left w:w="108" w:type="dxa"/>
            <w:bottom w:w="0" w:type="dxa"/>
            <w:right w:w="108" w:type="dxa"/>
          </w:tblCellMar>
        </w:tblPrEx>
        <w:trPr>
          <w:trHeight w:val="41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12</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窗口吊牌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宽600*高270*厚30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5</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42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洗手间吊牌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宽1450*高460*厚10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不锈钢烤漆，图文丝印</w:t>
            </w:r>
          </w:p>
        </w:tc>
      </w:tr>
      <w:tr>
        <w:tblPrEx>
          <w:tblCellMar>
            <w:top w:w="0" w:type="dxa"/>
            <w:left w:w="108" w:type="dxa"/>
            <w:bottom w:w="0" w:type="dxa"/>
            <w:right w:w="108" w:type="dxa"/>
          </w:tblCellMar>
        </w:tblPrEx>
        <w:trPr>
          <w:trHeight w:val="40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14</w:t>
            </w:r>
          </w:p>
        </w:tc>
        <w:tc>
          <w:tcPr>
            <w:tcW w:w="1616"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门牌类</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办公室</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宽266*高120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19</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42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15</w:t>
            </w:r>
          </w:p>
        </w:tc>
        <w:tc>
          <w:tcPr>
            <w:tcW w:w="1616" w:type="dxa"/>
            <w:vMerge w:val="continue"/>
            <w:tcBorders>
              <w:left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会议室、党建室等</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宽325*高150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25</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41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16</w:t>
            </w:r>
          </w:p>
        </w:tc>
        <w:tc>
          <w:tcPr>
            <w:tcW w:w="1616" w:type="dxa"/>
            <w:vMerge w:val="continue"/>
            <w:tcBorders>
              <w:left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库房、电井间</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宽266*高75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19</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418"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17</w:t>
            </w:r>
          </w:p>
        </w:tc>
        <w:tc>
          <w:tcPr>
            <w:tcW w:w="1616" w:type="dxa"/>
            <w:vMerge w:val="continue"/>
            <w:tcBorders>
              <w:left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仿宋_GB2312" w:eastAsia="仿宋_GB2312" w:cs="仿宋_GB2312"/>
                <w:sz w:val="28"/>
                <w:szCs w:val="28"/>
              </w:rPr>
              <w:t>★</w:t>
            </w:r>
            <w:r>
              <w:rPr>
                <w:rFonts w:hint="eastAsia" w:ascii="宋体" w:hAnsi="宋体" w:cs="Arial"/>
                <w:color w:val="000000"/>
                <w:kern w:val="0"/>
                <w:sz w:val="20"/>
              </w:rPr>
              <w:t>人员去向牌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宽380*高270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41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18</w:t>
            </w:r>
          </w:p>
        </w:tc>
        <w:tc>
          <w:tcPr>
            <w:tcW w:w="1616" w:type="dxa"/>
            <w:vMerge w:val="continue"/>
            <w:tcBorders>
              <w:left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门牌号</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宽120*高55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17</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19</w:t>
            </w:r>
          </w:p>
        </w:tc>
        <w:tc>
          <w:tcPr>
            <w:tcW w:w="1616" w:type="dxa"/>
            <w:vMerge w:val="continue"/>
            <w:tcBorders>
              <w:left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仿宋_GB2312" w:eastAsia="仿宋_GB2312" w:cs="仿宋_GB2312"/>
                <w:sz w:val="28"/>
                <w:szCs w:val="28"/>
              </w:rPr>
              <w:t>★</w:t>
            </w:r>
            <w:r>
              <w:rPr>
                <w:rFonts w:hint="eastAsia" w:ascii="宋体" w:hAnsi="宋体" w:cs="Arial"/>
                <w:color w:val="000000"/>
                <w:kern w:val="0"/>
                <w:sz w:val="20"/>
              </w:rPr>
              <w:t>男/女卫生间</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宽210*高150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344"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20</w:t>
            </w:r>
          </w:p>
        </w:tc>
        <w:tc>
          <w:tcPr>
            <w:tcW w:w="1616" w:type="dxa"/>
            <w:vMerge w:val="continue"/>
            <w:tcBorders>
              <w:left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茶水间</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宽210*高150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406"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21</w:t>
            </w:r>
          </w:p>
        </w:tc>
        <w:tc>
          <w:tcPr>
            <w:tcW w:w="161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办公室门牌号、导向牌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宽530*高600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不锈钢烤漆，图文丝印</w:t>
            </w:r>
          </w:p>
        </w:tc>
      </w:tr>
      <w:tr>
        <w:tblPrEx>
          <w:tblCellMar>
            <w:top w:w="0" w:type="dxa"/>
            <w:left w:w="108" w:type="dxa"/>
            <w:bottom w:w="0" w:type="dxa"/>
            <w:right w:w="108" w:type="dxa"/>
          </w:tblCellMar>
        </w:tblPrEx>
        <w:trPr>
          <w:trHeight w:val="412"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22</w:t>
            </w:r>
          </w:p>
        </w:tc>
        <w:tc>
          <w:tcPr>
            <w:tcW w:w="161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桌牌、挂牌类</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双面三角桌牌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宽260*高80*厚80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4</w:t>
            </w:r>
            <w:r>
              <w:rPr>
                <w:rFonts w:ascii="Arial" w:hAnsi="Arial" w:cs="Arial"/>
                <w:kern w:val="0"/>
                <w:sz w:val="20"/>
              </w:rPr>
              <w:t>3</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铝板烤漆，图文丝印</w:t>
            </w:r>
          </w:p>
        </w:tc>
      </w:tr>
      <w:tr>
        <w:tblPrEx>
          <w:tblCellMar>
            <w:top w:w="0" w:type="dxa"/>
            <w:left w:w="108" w:type="dxa"/>
            <w:bottom w:w="0" w:type="dxa"/>
            <w:right w:w="108" w:type="dxa"/>
          </w:tblCellMar>
        </w:tblPrEx>
        <w:trPr>
          <w:trHeight w:val="43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23</w:t>
            </w:r>
          </w:p>
        </w:tc>
        <w:tc>
          <w:tcPr>
            <w:tcW w:w="1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双面挂牌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宽260*高80*厚3</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6</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不锈钢烤漆，内容丝印(打孔穿链悬挂)</w:t>
            </w:r>
          </w:p>
        </w:tc>
      </w:tr>
      <w:tr>
        <w:tblPrEx>
          <w:tblCellMar>
            <w:top w:w="0" w:type="dxa"/>
            <w:left w:w="108" w:type="dxa"/>
            <w:bottom w:w="0" w:type="dxa"/>
            <w:right w:w="108" w:type="dxa"/>
          </w:tblCellMar>
        </w:tblPrEx>
        <w:trPr>
          <w:trHeight w:val="395"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24</w:t>
            </w:r>
          </w:p>
        </w:tc>
        <w:tc>
          <w:tcPr>
            <w:tcW w:w="1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文明、安全</w:t>
            </w:r>
          </w:p>
          <w:p>
            <w:pPr>
              <w:widowControl/>
              <w:jc w:val="center"/>
              <w:rPr>
                <w:rFonts w:ascii="宋体" w:hAnsi="宋体" w:cs="Arial"/>
                <w:kern w:val="0"/>
                <w:sz w:val="20"/>
              </w:rPr>
            </w:pPr>
            <w:r>
              <w:rPr>
                <w:rFonts w:hint="eastAsia" w:ascii="宋体" w:hAnsi="宋体" w:cs="Arial"/>
                <w:kern w:val="0"/>
                <w:sz w:val="20"/>
              </w:rPr>
              <w:t>提示牌类</w:t>
            </w: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严禁堆放杂物等</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300*</w:t>
            </w:r>
            <w:r>
              <w:rPr>
                <w:rFonts w:hint="eastAsia" w:ascii="宋体" w:hAnsi="宋体" w:cs="Arial"/>
                <w:color w:val="000000"/>
                <w:kern w:val="0"/>
                <w:sz w:val="20"/>
              </w:rPr>
              <w:t>高</w:t>
            </w:r>
            <w:r>
              <w:rPr>
                <w:rFonts w:ascii="宋体" w:hAnsi="宋体" w:cs="Arial"/>
                <w:color w:val="000000"/>
                <w:kern w:val="0"/>
                <w:sz w:val="20"/>
              </w:rPr>
              <w:t>125*</w:t>
            </w:r>
            <w:r>
              <w:rPr>
                <w:rFonts w:hint="eastAsia" w:ascii="宋体" w:hAnsi="宋体" w:cs="Arial"/>
                <w:color w:val="000000"/>
                <w:kern w:val="0"/>
                <w:sz w:val="20"/>
              </w:rPr>
              <w:t>厚</w:t>
            </w:r>
            <w:r>
              <w:rPr>
                <w:rFonts w:ascii="宋体" w:hAnsi="宋体" w:cs="Arial"/>
                <w:color w:val="000000"/>
                <w:kern w:val="0"/>
                <w:sz w:val="20"/>
              </w:rPr>
              <w:t>2</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33</w:t>
            </w:r>
          </w:p>
        </w:tc>
        <w:tc>
          <w:tcPr>
            <w:tcW w:w="4820"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000000"/>
                <w:sz w:val="20"/>
              </w:rPr>
            </w:pPr>
            <w:r>
              <w:rPr>
                <w:rFonts w:hint="eastAsia" w:cs="Arial"/>
                <w:color w:val="000000"/>
                <w:sz w:val="20"/>
              </w:rPr>
              <w:t>铝板烤漆，图文丝印</w:t>
            </w:r>
          </w:p>
        </w:tc>
      </w:tr>
      <w:tr>
        <w:tblPrEx>
          <w:tblCellMar>
            <w:top w:w="0" w:type="dxa"/>
            <w:left w:w="108" w:type="dxa"/>
            <w:bottom w:w="0" w:type="dxa"/>
            <w:right w:w="108" w:type="dxa"/>
          </w:tblCellMar>
        </w:tblPrEx>
        <w:trPr>
          <w:trHeight w:val="429"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25</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sz w:val="20"/>
              </w:rPr>
            </w:pPr>
            <w:r>
              <w:rPr>
                <w:rFonts w:hint="eastAsia" w:cs="Arial"/>
                <w:sz w:val="20"/>
              </w:rPr>
              <w:t>请勿吸烟</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125*</w:t>
            </w:r>
            <w:r>
              <w:rPr>
                <w:rFonts w:hint="eastAsia" w:ascii="宋体" w:hAnsi="宋体" w:cs="Arial"/>
                <w:color w:val="000000"/>
                <w:kern w:val="0"/>
                <w:sz w:val="20"/>
              </w:rPr>
              <w:t>高</w:t>
            </w:r>
            <w:r>
              <w:rPr>
                <w:rFonts w:ascii="宋体" w:hAnsi="宋体" w:cs="Arial"/>
                <w:color w:val="000000"/>
                <w:kern w:val="0"/>
                <w:sz w:val="20"/>
              </w:rPr>
              <w:t>125</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53</w:t>
            </w:r>
          </w:p>
        </w:tc>
        <w:tc>
          <w:tcPr>
            <w:tcW w:w="4820"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000000"/>
                <w:sz w:val="20"/>
              </w:rPr>
            </w:pPr>
            <w:r>
              <w:rPr>
                <w:rFonts w:hint="eastAsia" w:cs="Arial"/>
                <w:color w:val="000000"/>
                <w:sz w:val="20"/>
              </w:rPr>
              <w:t>铝板烤漆，图文丝印</w:t>
            </w:r>
          </w:p>
        </w:tc>
      </w:tr>
      <w:tr>
        <w:tblPrEx>
          <w:tblCellMar>
            <w:top w:w="0" w:type="dxa"/>
            <w:left w:w="108" w:type="dxa"/>
            <w:bottom w:w="0" w:type="dxa"/>
            <w:right w:w="108" w:type="dxa"/>
          </w:tblCellMar>
        </w:tblPrEx>
        <w:trPr>
          <w:trHeight w:val="40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26</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当心台阶</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300*</w:t>
            </w:r>
            <w:r>
              <w:rPr>
                <w:rFonts w:hint="eastAsia" w:ascii="宋体" w:hAnsi="宋体" w:cs="Arial"/>
                <w:color w:val="000000"/>
                <w:kern w:val="0"/>
                <w:sz w:val="20"/>
              </w:rPr>
              <w:t>高</w:t>
            </w:r>
            <w:r>
              <w:rPr>
                <w:rFonts w:ascii="宋体" w:hAnsi="宋体" w:cs="Arial"/>
                <w:color w:val="000000"/>
                <w:kern w:val="0"/>
                <w:sz w:val="20"/>
              </w:rPr>
              <w:t>125</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4</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地贴膜</w:t>
            </w:r>
            <w:r>
              <w:rPr>
                <w:rFonts w:ascii="Arial" w:hAnsi="Arial" w:cs="Arial"/>
                <w:sz w:val="20"/>
              </w:rPr>
              <w:t>UV</w:t>
            </w:r>
          </w:p>
        </w:tc>
      </w:tr>
      <w:tr>
        <w:tblPrEx>
          <w:tblCellMar>
            <w:top w:w="0" w:type="dxa"/>
            <w:left w:w="108" w:type="dxa"/>
            <w:bottom w:w="0" w:type="dxa"/>
            <w:right w:w="108" w:type="dxa"/>
          </w:tblCellMar>
        </w:tblPrEx>
        <w:trPr>
          <w:trHeight w:val="42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27</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请勿攀爬</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300*</w:t>
            </w:r>
            <w:r>
              <w:rPr>
                <w:rFonts w:hint="eastAsia" w:ascii="宋体" w:hAnsi="宋体" w:cs="Arial"/>
                <w:color w:val="000000"/>
                <w:kern w:val="0"/>
                <w:sz w:val="20"/>
              </w:rPr>
              <w:t>高</w:t>
            </w:r>
            <w:r>
              <w:rPr>
                <w:rFonts w:ascii="宋体" w:hAnsi="宋体" w:cs="Arial"/>
                <w:color w:val="000000"/>
                <w:kern w:val="0"/>
                <w:sz w:val="20"/>
              </w:rPr>
              <w:t>125</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4</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透明亚克力</w:t>
            </w:r>
            <w:r>
              <w:rPr>
                <w:rFonts w:ascii="Arial" w:hAnsi="Arial" w:cs="Arial"/>
                <w:sz w:val="20"/>
              </w:rPr>
              <w:t>UV</w:t>
            </w:r>
          </w:p>
        </w:tc>
      </w:tr>
      <w:tr>
        <w:tblPrEx>
          <w:tblCellMar>
            <w:top w:w="0" w:type="dxa"/>
            <w:left w:w="108" w:type="dxa"/>
            <w:bottom w:w="0" w:type="dxa"/>
            <w:right w:w="108" w:type="dxa"/>
          </w:tblCellMar>
        </w:tblPrEx>
        <w:trPr>
          <w:trHeight w:val="405"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28</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各类安全提示</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600*</w:t>
            </w:r>
            <w:r>
              <w:rPr>
                <w:rFonts w:hint="eastAsia" w:ascii="宋体" w:hAnsi="宋体" w:cs="Arial"/>
                <w:color w:val="000000"/>
                <w:kern w:val="0"/>
                <w:sz w:val="20"/>
              </w:rPr>
              <w:t>高</w:t>
            </w:r>
            <w:r>
              <w:rPr>
                <w:rFonts w:ascii="宋体" w:hAnsi="宋体" w:cs="Arial"/>
                <w:color w:val="000000"/>
                <w:kern w:val="0"/>
                <w:sz w:val="20"/>
              </w:rPr>
              <w:t>400</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2</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透明膜</w:t>
            </w:r>
            <w:r>
              <w:rPr>
                <w:rFonts w:ascii="Arial" w:hAnsi="Arial" w:cs="Arial"/>
                <w:sz w:val="20"/>
              </w:rPr>
              <w:t>UV</w:t>
            </w:r>
          </w:p>
        </w:tc>
      </w:tr>
      <w:tr>
        <w:tblPrEx>
          <w:tblCellMar>
            <w:top w:w="0" w:type="dxa"/>
            <w:left w:w="108" w:type="dxa"/>
            <w:bottom w:w="0" w:type="dxa"/>
            <w:right w:w="108" w:type="dxa"/>
          </w:tblCellMar>
        </w:tblPrEx>
        <w:trPr>
          <w:trHeight w:val="425"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29</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消防门</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200*</w:t>
            </w:r>
            <w:r>
              <w:rPr>
                <w:rFonts w:hint="eastAsia" w:ascii="宋体" w:hAnsi="宋体" w:cs="Arial"/>
                <w:color w:val="000000"/>
                <w:kern w:val="0"/>
                <w:sz w:val="20"/>
              </w:rPr>
              <w:t>高</w:t>
            </w:r>
            <w:r>
              <w:rPr>
                <w:rFonts w:ascii="宋体" w:hAnsi="宋体" w:cs="Arial"/>
                <w:color w:val="000000"/>
                <w:kern w:val="0"/>
                <w:sz w:val="20"/>
              </w:rPr>
              <w:t>120</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16</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亚克力</w:t>
            </w:r>
            <w:r>
              <w:rPr>
                <w:rFonts w:ascii="Arial" w:hAnsi="Arial" w:cs="Arial"/>
                <w:sz w:val="20"/>
              </w:rPr>
              <w:t>UV</w:t>
            </w:r>
          </w:p>
        </w:tc>
      </w:tr>
      <w:tr>
        <w:tblPrEx>
          <w:tblCellMar>
            <w:top w:w="0" w:type="dxa"/>
            <w:left w:w="108" w:type="dxa"/>
            <w:bottom w:w="0" w:type="dxa"/>
            <w:right w:w="108" w:type="dxa"/>
          </w:tblCellMar>
        </w:tblPrEx>
        <w:trPr>
          <w:trHeight w:val="40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30</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一米线</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长</w:t>
            </w:r>
            <w:r>
              <w:rPr>
                <w:rFonts w:ascii="宋体" w:hAnsi="宋体" w:cs="Arial"/>
                <w:color w:val="000000"/>
                <w:kern w:val="0"/>
                <w:sz w:val="20"/>
              </w:rPr>
              <w:t>1000*</w:t>
            </w:r>
            <w:r>
              <w:rPr>
                <w:rFonts w:hint="eastAsia" w:ascii="宋体" w:hAnsi="宋体" w:cs="Arial"/>
                <w:color w:val="000000"/>
                <w:kern w:val="0"/>
                <w:sz w:val="20"/>
              </w:rPr>
              <w:t>宽</w:t>
            </w:r>
            <w:r>
              <w:rPr>
                <w:rFonts w:ascii="宋体" w:hAnsi="宋体" w:cs="Arial"/>
                <w:color w:val="000000"/>
                <w:kern w:val="0"/>
                <w:sz w:val="20"/>
              </w:rPr>
              <w:t>120</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米</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40</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地贴膜</w:t>
            </w:r>
            <w:r>
              <w:rPr>
                <w:rFonts w:ascii="Arial" w:hAnsi="Arial" w:cs="Arial"/>
                <w:sz w:val="20"/>
              </w:rPr>
              <w:t>UV</w:t>
            </w:r>
          </w:p>
        </w:tc>
      </w:tr>
      <w:tr>
        <w:tblPrEx>
          <w:tblCellMar>
            <w:top w:w="0" w:type="dxa"/>
            <w:left w:w="108" w:type="dxa"/>
            <w:bottom w:w="0" w:type="dxa"/>
            <w:right w:w="108" w:type="dxa"/>
          </w:tblCellMar>
        </w:tblPrEx>
        <w:trPr>
          <w:trHeight w:val="42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31</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玻璃腰线</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高</w:t>
            </w:r>
            <w:r>
              <w:rPr>
                <w:rFonts w:ascii="宋体" w:hAnsi="宋体" w:cs="Arial"/>
                <w:color w:val="000000"/>
                <w:kern w:val="0"/>
                <w:sz w:val="20"/>
              </w:rPr>
              <w:t>150</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米</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50</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透明膜</w:t>
            </w:r>
            <w:r>
              <w:rPr>
                <w:rFonts w:ascii="Arial" w:hAnsi="Arial" w:cs="Arial"/>
                <w:sz w:val="20"/>
              </w:rPr>
              <w:t>UV</w:t>
            </w:r>
          </w:p>
        </w:tc>
      </w:tr>
      <w:tr>
        <w:tblPrEx>
          <w:tblCellMar>
            <w:top w:w="0" w:type="dxa"/>
            <w:left w:w="108" w:type="dxa"/>
            <w:bottom w:w="0" w:type="dxa"/>
            <w:right w:w="108" w:type="dxa"/>
          </w:tblCellMar>
        </w:tblPrEx>
        <w:trPr>
          <w:trHeight w:val="40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32</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温馨提示</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400*</w:t>
            </w:r>
            <w:r>
              <w:rPr>
                <w:rFonts w:hint="eastAsia" w:ascii="宋体" w:hAnsi="宋体" w:cs="Arial"/>
                <w:color w:val="000000"/>
                <w:kern w:val="0"/>
                <w:sz w:val="20"/>
              </w:rPr>
              <w:t>高</w:t>
            </w:r>
            <w:r>
              <w:rPr>
                <w:rFonts w:ascii="宋体" w:hAnsi="宋体" w:cs="Arial"/>
                <w:color w:val="000000"/>
                <w:kern w:val="0"/>
                <w:sz w:val="20"/>
              </w:rPr>
              <w:t>250</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28</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亚克力</w:t>
            </w:r>
            <w:r>
              <w:rPr>
                <w:rFonts w:ascii="Arial" w:hAnsi="Arial" w:cs="Arial"/>
                <w:sz w:val="20"/>
              </w:rPr>
              <w:t>UV</w:t>
            </w:r>
          </w:p>
        </w:tc>
      </w:tr>
      <w:tr>
        <w:tblPrEx>
          <w:tblCellMar>
            <w:top w:w="0" w:type="dxa"/>
            <w:left w:w="108" w:type="dxa"/>
            <w:bottom w:w="0" w:type="dxa"/>
            <w:right w:w="108" w:type="dxa"/>
          </w:tblCellMar>
        </w:tblPrEx>
        <w:trPr>
          <w:trHeight w:val="42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33</w:t>
            </w:r>
          </w:p>
        </w:tc>
        <w:tc>
          <w:tcPr>
            <w:tcW w:w="16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kern w:val="0"/>
                <w:sz w:val="20"/>
              </w:rPr>
            </w:pP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Arial"/>
                <w:sz w:val="20"/>
              </w:rPr>
            </w:pPr>
            <w:r>
              <w:rPr>
                <w:rFonts w:hint="eastAsia" w:cs="Arial"/>
                <w:sz w:val="20"/>
              </w:rPr>
              <w:t>节约用纸</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300*</w:t>
            </w:r>
            <w:r>
              <w:rPr>
                <w:rFonts w:hint="eastAsia" w:ascii="宋体" w:hAnsi="宋体" w:cs="Arial"/>
                <w:color w:val="000000"/>
                <w:kern w:val="0"/>
                <w:sz w:val="20"/>
              </w:rPr>
              <w:t>高</w:t>
            </w:r>
            <w:r>
              <w:rPr>
                <w:rFonts w:ascii="宋体" w:hAnsi="宋体" w:cs="Arial"/>
                <w:color w:val="000000"/>
                <w:kern w:val="0"/>
                <w:sz w:val="20"/>
              </w:rPr>
              <w:t>120</w:t>
            </w:r>
          </w:p>
        </w:tc>
        <w:tc>
          <w:tcPr>
            <w:tcW w:w="9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块</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 w:val="20"/>
              </w:rPr>
            </w:pPr>
            <w:r>
              <w:rPr>
                <w:rFonts w:ascii="Arial" w:hAnsi="Arial" w:cs="Arial"/>
                <w:sz w:val="20"/>
              </w:rPr>
              <w:t>30</w:t>
            </w:r>
          </w:p>
        </w:tc>
        <w:tc>
          <w:tcPr>
            <w:tcW w:w="48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 w:val="20"/>
              </w:rPr>
            </w:pPr>
            <w:r>
              <w:rPr>
                <w:rFonts w:hint="eastAsia" w:cs="Arial"/>
                <w:sz w:val="20"/>
              </w:rPr>
              <w:t>亚克力</w:t>
            </w:r>
            <w:r>
              <w:rPr>
                <w:rFonts w:ascii="Arial" w:hAnsi="Arial" w:cs="Arial"/>
                <w:sz w:val="20"/>
              </w:rPr>
              <w:t>UV</w:t>
            </w:r>
          </w:p>
        </w:tc>
      </w:tr>
      <w:tr>
        <w:tblPrEx>
          <w:tblCellMar>
            <w:top w:w="0" w:type="dxa"/>
            <w:left w:w="108" w:type="dxa"/>
            <w:bottom w:w="0" w:type="dxa"/>
            <w:right w:w="108" w:type="dxa"/>
          </w:tblCellMar>
        </w:tblPrEx>
        <w:trPr>
          <w:trHeight w:val="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34</w:t>
            </w:r>
          </w:p>
        </w:tc>
        <w:tc>
          <w:tcPr>
            <w:tcW w:w="52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ascii="Arial" w:hAnsi="Arial" w:cs="Arial"/>
                <w:kern w:val="0"/>
                <w:sz w:val="20"/>
              </w:rPr>
              <w:t>　</w:t>
            </w:r>
            <w:r>
              <w:rPr>
                <w:rFonts w:hint="eastAsia" w:ascii="Arial" w:hAnsi="Arial" w:cs="Arial"/>
                <w:kern w:val="0"/>
                <w:sz w:val="20"/>
              </w:rPr>
              <w:t>室内</w:t>
            </w:r>
            <w:r>
              <w:rPr>
                <w:rFonts w:hint="eastAsia" w:ascii="宋体" w:hAnsi="宋体" w:cs="Arial"/>
                <w:kern w:val="0"/>
                <w:sz w:val="20"/>
              </w:rPr>
              <w:t>公告栏</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1200x</w:t>
            </w:r>
            <w:r>
              <w:rPr>
                <w:rFonts w:hint="eastAsia" w:ascii="宋体" w:hAnsi="宋体" w:cs="Arial"/>
                <w:color w:val="000000"/>
                <w:kern w:val="0"/>
                <w:sz w:val="20"/>
              </w:rPr>
              <w:t>高</w:t>
            </w:r>
            <w:r>
              <w:rPr>
                <w:rFonts w:ascii="宋体" w:hAnsi="宋体" w:cs="Arial"/>
                <w:color w:val="000000"/>
                <w:kern w:val="0"/>
                <w:sz w:val="20"/>
              </w:rPr>
              <w:t>900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6</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不锈钢底板 黄色部分亚克力uv 公告栏亚克力立体字 4个A4透明亚克力插槽+海报框</w:t>
            </w:r>
          </w:p>
        </w:tc>
      </w:tr>
      <w:tr>
        <w:tblPrEx>
          <w:tblCellMar>
            <w:top w:w="0" w:type="dxa"/>
            <w:left w:w="108" w:type="dxa"/>
            <w:bottom w:w="0" w:type="dxa"/>
            <w:right w:w="108" w:type="dxa"/>
          </w:tblCellMar>
        </w:tblPrEx>
        <w:trPr>
          <w:trHeight w:val="45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35</w:t>
            </w:r>
          </w:p>
        </w:tc>
        <w:tc>
          <w:tcPr>
            <w:tcW w:w="52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对外服务时间标牌</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550*</w:t>
            </w:r>
            <w:r>
              <w:rPr>
                <w:rFonts w:hint="eastAsia" w:ascii="宋体" w:hAnsi="宋体" w:cs="Arial"/>
                <w:color w:val="000000"/>
                <w:kern w:val="0"/>
                <w:sz w:val="20"/>
              </w:rPr>
              <w:t>高</w:t>
            </w:r>
            <w:r>
              <w:rPr>
                <w:rFonts w:ascii="宋体" w:hAnsi="宋体" w:cs="Arial"/>
                <w:color w:val="000000"/>
                <w:kern w:val="0"/>
                <w:sz w:val="20"/>
              </w:rPr>
              <w:t>700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不锈钢烤漆+亚克力，图文丝印</w:t>
            </w:r>
          </w:p>
        </w:tc>
      </w:tr>
      <w:tr>
        <w:tblPrEx>
          <w:tblCellMar>
            <w:top w:w="0" w:type="dxa"/>
            <w:left w:w="108" w:type="dxa"/>
            <w:bottom w:w="0" w:type="dxa"/>
            <w:right w:w="108" w:type="dxa"/>
          </w:tblCellMar>
        </w:tblPrEx>
        <w:trPr>
          <w:trHeight w:val="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地面停车场标识</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路面机动车</w:t>
            </w:r>
            <w:r>
              <w:rPr>
                <w:rFonts w:hint="eastAsia" w:ascii="宋体" w:hAnsi="宋体" w:cs="Arial"/>
                <w:kern w:val="0"/>
                <w:sz w:val="20"/>
              </w:rPr>
              <w:br w:type="page"/>
            </w:r>
            <w:r>
              <w:rPr>
                <w:rFonts w:hint="eastAsia" w:ascii="宋体" w:hAnsi="宋体" w:cs="Arial"/>
                <w:kern w:val="0"/>
                <w:sz w:val="20"/>
              </w:rPr>
              <w:t>停放区</w:t>
            </w:r>
            <w:r>
              <w:rPr>
                <w:rFonts w:hint="eastAsia" w:ascii="宋体" w:hAnsi="宋体" w:cs="Arial"/>
                <w:kern w:val="0"/>
                <w:sz w:val="20"/>
              </w:rPr>
              <w:br w:type="page"/>
            </w:r>
            <w:r>
              <w:rPr>
                <w:rFonts w:hint="eastAsia" w:ascii="宋体" w:hAnsi="宋体" w:cs="Arial"/>
                <w:kern w:val="0"/>
                <w:sz w:val="20"/>
              </w:rPr>
              <w:t>指示牌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标牌宽600*高900 下边离地2000  杆直径不低于100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铝板反光膜+立杆含基础</w:t>
            </w:r>
          </w:p>
        </w:tc>
      </w:tr>
      <w:tr>
        <w:tblPrEx>
          <w:tblCellMar>
            <w:top w:w="0" w:type="dxa"/>
            <w:left w:w="108" w:type="dxa"/>
            <w:bottom w:w="0" w:type="dxa"/>
            <w:right w:w="108" w:type="dxa"/>
          </w:tblCellMar>
        </w:tblPrEx>
        <w:trPr>
          <w:trHeight w:val="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37</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路面电瓶车停放区指示牌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标牌宽600*高900 下边离地2000  杆直径不低于100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铝板反光膜+立杆含基础</w:t>
            </w:r>
          </w:p>
        </w:tc>
      </w:tr>
      <w:tr>
        <w:tblPrEx>
          <w:tblCellMar>
            <w:top w:w="0" w:type="dxa"/>
            <w:left w:w="108" w:type="dxa"/>
            <w:bottom w:w="0" w:type="dxa"/>
            <w:right w:w="108" w:type="dxa"/>
          </w:tblCellMar>
        </w:tblPrEx>
        <w:trPr>
          <w:trHeight w:val="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38</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地下车库入口</w:t>
            </w:r>
            <w:r>
              <w:rPr>
                <w:rFonts w:hint="eastAsia" w:ascii="宋体" w:hAnsi="宋体" w:cs="Arial"/>
                <w:kern w:val="0"/>
                <w:sz w:val="20"/>
              </w:rPr>
              <w:br w:type="page"/>
            </w:r>
            <w:r>
              <w:rPr>
                <w:rFonts w:hint="eastAsia" w:ascii="宋体" w:hAnsi="宋体" w:cs="Arial"/>
                <w:kern w:val="0"/>
                <w:sz w:val="20"/>
              </w:rPr>
              <w:t>指示牌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标牌宽</w:t>
            </w:r>
            <w:r>
              <w:rPr>
                <w:rFonts w:ascii="宋体" w:hAnsi="宋体" w:cs="Arial"/>
                <w:color w:val="000000"/>
                <w:kern w:val="0"/>
                <w:sz w:val="20"/>
              </w:rPr>
              <w:t>600*</w:t>
            </w:r>
            <w:r>
              <w:rPr>
                <w:rFonts w:hint="eastAsia" w:ascii="宋体" w:hAnsi="宋体" w:cs="Arial"/>
                <w:color w:val="000000"/>
                <w:kern w:val="0"/>
                <w:sz w:val="20"/>
              </w:rPr>
              <w:t>高</w:t>
            </w:r>
            <w:r>
              <w:rPr>
                <w:rFonts w:ascii="宋体" w:hAnsi="宋体" w:cs="Arial"/>
                <w:color w:val="000000"/>
                <w:kern w:val="0"/>
                <w:sz w:val="20"/>
              </w:rPr>
              <w:t xml:space="preserve">900 </w:t>
            </w:r>
            <w:r>
              <w:rPr>
                <w:rFonts w:hint="eastAsia" w:ascii="宋体" w:hAnsi="宋体" w:cs="Arial"/>
                <w:color w:val="000000"/>
                <w:kern w:val="0"/>
                <w:sz w:val="20"/>
              </w:rPr>
              <w:t>下边离地2000  杆直径不低于100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铝板反光膜+立杆含基础</w:t>
            </w:r>
          </w:p>
        </w:tc>
      </w:tr>
      <w:tr>
        <w:tblPrEx>
          <w:tblCellMar>
            <w:top w:w="0" w:type="dxa"/>
            <w:left w:w="108" w:type="dxa"/>
            <w:bottom w:w="0" w:type="dxa"/>
            <w:right w:w="108" w:type="dxa"/>
          </w:tblCellMar>
        </w:tblPrEx>
        <w:trPr>
          <w:trHeight w:val="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39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出口指示牌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标牌宽</w:t>
            </w:r>
            <w:r>
              <w:rPr>
                <w:rFonts w:ascii="宋体" w:hAnsi="宋体" w:cs="Arial"/>
                <w:color w:val="000000"/>
                <w:kern w:val="0"/>
                <w:sz w:val="20"/>
              </w:rPr>
              <w:t>400*</w:t>
            </w:r>
            <w:r>
              <w:rPr>
                <w:rFonts w:hint="eastAsia" w:ascii="宋体" w:hAnsi="宋体" w:cs="Arial"/>
                <w:color w:val="000000"/>
                <w:kern w:val="0"/>
                <w:sz w:val="20"/>
              </w:rPr>
              <w:t>高</w:t>
            </w:r>
            <w:r>
              <w:rPr>
                <w:rFonts w:ascii="宋体" w:hAnsi="宋体" w:cs="Arial"/>
                <w:color w:val="000000"/>
                <w:kern w:val="0"/>
                <w:sz w:val="20"/>
              </w:rPr>
              <w:t>400</w:t>
            </w:r>
            <w:r>
              <w:rPr>
                <w:rFonts w:hint="eastAsia" w:ascii="宋体" w:hAnsi="宋体" w:cs="Arial"/>
                <w:color w:val="000000"/>
                <w:kern w:val="0"/>
                <w:sz w:val="20"/>
              </w:rPr>
              <w:t xml:space="preserve"> 下边离地2000  杆直径不低于100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铝板反光膜+立杆含基础</w:t>
            </w:r>
          </w:p>
        </w:tc>
      </w:tr>
      <w:tr>
        <w:tblPrEx>
          <w:tblCellMar>
            <w:top w:w="0" w:type="dxa"/>
            <w:left w:w="108" w:type="dxa"/>
            <w:bottom w:w="0" w:type="dxa"/>
            <w:right w:w="108" w:type="dxa"/>
          </w:tblCellMar>
        </w:tblPrEx>
        <w:trPr>
          <w:trHeight w:val="428"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40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禁止左转</w:t>
            </w:r>
            <w:r>
              <w:rPr>
                <w:rFonts w:hint="eastAsia" w:ascii="宋体" w:hAnsi="宋体" w:cs="Arial"/>
                <w:kern w:val="0"/>
                <w:sz w:val="20"/>
              </w:rPr>
              <w:br w:type="page"/>
            </w:r>
            <w:r>
              <w:rPr>
                <w:rFonts w:hint="eastAsia" w:ascii="宋体" w:hAnsi="宋体" w:cs="Arial"/>
                <w:kern w:val="0"/>
                <w:sz w:val="20"/>
              </w:rPr>
              <w:t>指示牌</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直径</w:t>
            </w:r>
            <w:r>
              <w:rPr>
                <w:rFonts w:ascii="宋体" w:hAnsi="宋体" w:cs="Arial"/>
                <w:color w:val="000000"/>
                <w:kern w:val="0"/>
                <w:sz w:val="20"/>
              </w:rPr>
              <w:t>600</w:t>
            </w:r>
            <w:r>
              <w:rPr>
                <w:rFonts w:hint="eastAsia" w:ascii="宋体" w:hAnsi="宋体" w:cs="Arial"/>
                <w:color w:val="000000"/>
                <w:kern w:val="0"/>
                <w:sz w:val="20"/>
              </w:rPr>
              <w:t>圆形标牌</w:t>
            </w:r>
            <w:r>
              <w:rPr>
                <w:rFonts w:ascii="宋体" w:hAnsi="宋体" w:cs="Arial"/>
                <w:color w:val="000000"/>
                <w:kern w:val="0"/>
                <w:sz w:val="20"/>
              </w:rPr>
              <w:t>+</w:t>
            </w:r>
            <w:r>
              <w:rPr>
                <w:rFonts w:hint="eastAsia" w:ascii="宋体" w:hAnsi="宋体" w:cs="Arial"/>
                <w:color w:val="000000"/>
                <w:kern w:val="0"/>
                <w:sz w:val="20"/>
              </w:rPr>
              <w:t>宽</w:t>
            </w:r>
            <w:r>
              <w:rPr>
                <w:rFonts w:ascii="宋体" w:hAnsi="宋体" w:cs="Arial"/>
                <w:color w:val="000000"/>
                <w:kern w:val="0"/>
                <w:sz w:val="20"/>
              </w:rPr>
              <w:t>600*</w:t>
            </w:r>
            <w:r>
              <w:rPr>
                <w:rFonts w:hint="eastAsia" w:ascii="宋体" w:hAnsi="宋体" w:cs="Arial"/>
                <w:color w:val="000000"/>
                <w:kern w:val="0"/>
                <w:sz w:val="20"/>
              </w:rPr>
              <w:t>高</w:t>
            </w:r>
            <w:r>
              <w:rPr>
                <w:rFonts w:ascii="宋体" w:hAnsi="宋体" w:cs="Arial"/>
                <w:color w:val="000000"/>
                <w:kern w:val="0"/>
                <w:sz w:val="20"/>
              </w:rPr>
              <w:t xml:space="preserve">200 </w:t>
            </w:r>
            <w:r>
              <w:rPr>
                <w:rFonts w:hint="eastAsia" w:ascii="宋体" w:hAnsi="宋体" w:cs="Arial"/>
                <w:color w:val="000000"/>
                <w:kern w:val="0"/>
                <w:sz w:val="20"/>
              </w:rPr>
              <w:t>长方形标牌 标牌底部离地</w:t>
            </w:r>
            <w:r>
              <w:rPr>
                <w:rFonts w:ascii="宋体" w:hAnsi="宋体" w:cs="Arial"/>
                <w:color w:val="000000"/>
                <w:kern w:val="0"/>
                <w:sz w:val="20"/>
              </w:rPr>
              <w:t xml:space="preserve">2000   </w:t>
            </w:r>
            <w:r>
              <w:rPr>
                <w:rFonts w:hint="eastAsia" w:ascii="宋体" w:hAnsi="宋体" w:cs="Arial"/>
                <w:color w:val="000000"/>
                <w:kern w:val="0"/>
                <w:sz w:val="20"/>
              </w:rPr>
              <w:t>杆直径不低于100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铝板反光膜+立杆含基础</w:t>
            </w:r>
          </w:p>
        </w:tc>
      </w:tr>
      <w:tr>
        <w:tblPrEx>
          <w:tblCellMar>
            <w:top w:w="0" w:type="dxa"/>
            <w:left w:w="108" w:type="dxa"/>
            <w:bottom w:w="0" w:type="dxa"/>
            <w:right w:w="108" w:type="dxa"/>
          </w:tblCellMar>
        </w:tblPrEx>
        <w:trPr>
          <w:trHeight w:val="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41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户外广角镜</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直径</w:t>
            </w:r>
            <w:r>
              <w:rPr>
                <w:rFonts w:ascii="宋体" w:hAnsi="宋体" w:cs="Arial"/>
                <w:color w:val="000000"/>
                <w:kern w:val="0"/>
                <w:sz w:val="20"/>
              </w:rPr>
              <w:t>600*</w:t>
            </w:r>
            <w:r>
              <w:rPr>
                <w:rFonts w:hint="eastAsia" w:ascii="宋体" w:hAnsi="宋体" w:cs="Arial"/>
                <w:color w:val="000000"/>
                <w:kern w:val="0"/>
                <w:sz w:val="20"/>
              </w:rPr>
              <w:t>连杆高度</w:t>
            </w:r>
            <w:r>
              <w:rPr>
                <w:rFonts w:ascii="宋体" w:hAnsi="宋体" w:cs="Arial"/>
                <w:color w:val="000000"/>
                <w:kern w:val="0"/>
                <w:sz w:val="20"/>
              </w:rPr>
              <w:t xml:space="preserve">2000   </w:t>
            </w:r>
            <w:r>
              <w:rPr>
                <w:rFonts w:hint="eastAsia" w:ascii="宋体" w:hAnsi="宋体" w:cs="Arial"/>
                <w:color w:val="000000"/>
                <w:kern w:val="0"/>
                <w:sz w:val="20"/>
              </w:rPr>
              <w:t>杆直径不低于100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户外广角镜+立杆含基础</w:t>
            </w:r>
          </w:p>
        </w:tc>
      </w:tr>
      <w:tr>
        <w:tblPrEx>
          <w:tblCellMar>
            <w:top w:w="0" w:type="dxa"/>
            <w:left w:w="108" w:type="dxa"/>
            <w:bottom w:w="0" w:type="dxa"/>
            <w:right w:w="108" w:type="dxa"/>
          </w:tblCellMar>
        </w:tblPrEx>
        <w:trPr>
          <w:trHeight w:val="386"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42</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地下车库标识</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地下车库悬挂指示牌</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2500*</w:t>
            </w:r>
            <w:r>
              <w:rPr>
                <w:rFonts w:hint="eastAsia" w:ascii="宋体" w:hAnsi="宋体" w:cs="Arial"/>
                <w:color w:val="000000"/>
                <w:kern w:val="0"/>
                <w:sz w:val="20"/>
              </w:rPr>
              <w:t>高</w:t>
            </w:r>
            <w:r>
              <w:rPr>
                <w:rFonts w:ascii="宋体" w:hAnsi="宋体" w:cs="Arial"/>
                <w:color w:val="000000"/>
                <w:kern w:val="0"/>
                <w:sz w:val="20"/>
              </w:rPr>
              <w:t>300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10</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不锈钢烤漆，图文丝印</w:t>
            </w:r>
          </w:p>
        </w:tc>
      </w:tr>
      <w:tr>
        <w:tblPrEx>
          <w:tblCellMar>
            <w:top w:w="0" w:type="dxa"/>
            <w:left w:w="108" w:type="dxa"/>
            <w:bottom w:w="0" w:type="dxa"/>
            <w:right w:w="108" w:type="dxa"/>
          </w:tblCellMar>
        </w:tblPrEx>
        <w:trPr>
          <w:trHeight w:val="419"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停车场入口（出口）指示牌</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900*</w:t>
            </w:r>
            <w:r>
              <w:rPr>
                <w:rFonts w:hint="eastAsia" w:ascii="宋体" w:hAnsi="宋体" w:cs="Arial"/>
                <w:color w:val="000000"/>
                <w:kern w:val="0"/>
                <w:sz w:val="20"/>
              </w:rPr>
              <w:t>高</w:t>
            </w:r>
            <w:r>
              <w:rPr>
                <w:rFonts w:ascii="宋体" w:hAnsi="宋体" w:cs="Arial"/>
                <w:color w:val="000000"/>
                <w:kern w:val="0"/>
                <w:sz w:val="20"/>
              </w:rPr>
              <w:t>600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48</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w:t>
            </w:r>
          </w:p>
        </w:tc>
      </w:tr>
      <w:tr>
        <w:tblPrEx>
          <w:tblCellMar>
            <w:top w:w="0" w:type="dxa"/>
            <w:left w:w="108" w:type="dxa"/>
            <w:bottom w:w="0" w:type="dxa"/>
            <w:right w:w="108" w:type="dxa"/>
          </w:tblCellMar>
        </w:tblPrEx>
        <w:trPr>
          <w:trHeight w:val="41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禁止左（右）转指示牌</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600*</w:t>
            </w:r>
            <w:r>
              <w:rPr>
                <w:rFonts w:hint="eastAsia" w:ascii="宋体" w:hAnsi="宋体" w:cs="Arial"/>
                <w:color w:val="000000"/>
                <w:kern w:val="0"/>
                <w:sz w:val="20"/>
              </w:rPr>
              <w:t>高</w:t>
            </w:r>
            <w:r>
              <w:rPr>
                <w:rFonts w:ascii="宋体" w:hAnsi="宋体" w:cs="Arial"/>
                <w:color w:val="000000"/>
                <w:kern w:val="0"/>
                <w:sz w:val="20"/>
              </w:rPr>
              <w:t>600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6</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w:t>
            </w:r>
          </w:p>
        </w:tc>
      </w:tr>
      <w:tr>
        <w:tblPrEx>
          <w:tblCellMar>
            <w:top w:w="0" w:type="dxa"/>
            <w:left w:w="108" w:type="dxa"/>
            <w:bottom w:w="0" w:type="dxa"/>
            <w:right w:w="108" w:type="dxa"/>
          </w:tblCellMar>
        </w:tblPrEx>
        <w:trPr>
          <w:trHeight w:val="416"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禁止停车</w:t>
            </w:r>
            <w:r>
              <w:rPr>
                <w:rFonts w:hint="eastAsia" w:ascii="宋体" w:hAnsi="宋体" w:cs="Arial"/>
                <w:kern w:val="0"/>
                <w:sz w:val="20"/>
              </w:rPr>
              <w:br w:type="page"/>
            </w:r>
            <w:r>
              <w:rPr>
                <w:rFonts w:hint="eastAsia" w:ascii="宋体" w:hAnsi="宋体" w:cs="Arial"/>
                <w:kern w:val="0"/>
                <w:sz w:val="20"/>
              </w:rPr>
              <w:t>指示牌</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600*</w:t>
            </w:r>
            <w:r>
              <w:rPr>
                <w:rFonts w:hint="eastAsia" w:ascii="宋体" w:hAnsi="宋体" w:cs="Arial"/>
                <w:color w:val="000000"/>
                <w:kern w:val="0"/>
                <w:sz w:val="20"/>
              </w:rPr>
              <w:t>高</w:t>
            </w:r>
            <w:r>
              <w:rPr>
                <w:rFonts w:ascii="宋体" w:hAnsi="宋体" w:cs="Arial"/>
                <w:color w:val="000000"/>
                <w:kern w:val="0"/>
                <w:sz w:val="20"/>
              </w:rPr>
              <w:t>600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w:t>
            </w:r>
          </w:p>
        </w:tc>
      </w:tr>
      <w:tr>
        <w:tblPrEx>
          <w:tblCellMar>
            <w:top w:w="0" w:type="dxa"/>
            <w:left w:w="108" w:type="dxa"/>
            <w:bottom w:w="0" w:type="dxa"/>
            <w:right w:w="108" w:type="dxa"/>
          </w:tblCellMar>
        </w:tblPrEx>
        <w:trPr>
          <w:trHeight w:val="408"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入口指示牌</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900*</w:t>
            </w:r>
            <w:r>
              <w:rPr>
                <w:rFonts w:hint="eastAsia" w:ascii="宋体" w:hAnsi="宋体" w:cs="Arial"/>
                <w:color w:val="000000"/>
                <w:kern w:val="0"/>
                <w:sz w:val="20"/>
              </w:rPr>
              <w:t>高</w:t>
            </w:r>
            <w:r>
              <w:rPr>
                <w:rFonts w:ascii="宋体" w:hAnsi="宋体" w:cs="Arial"/>
                <w:color w:val="000000"/>
                <w:kern w:val="0"/>
                <w:sz w:val="20"/>
              </w:rPr>
              <w:t>380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hint="eastAsia" w:ascii="Arial" w:hAnsi="Arial" w:cs="Arial"/>
                <w:kern w:val="0"/>
                <w:sz w:val="20"/>
              </w:rPr>
              <w:t>12</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w:t>
            </w:r>
          </w:p>
        </w:tc>
      </w:tr>
      <w:tr>
        <w:tblPrEx>
          <w:tblCellMar>
            <w:top w:w="0" w:type="dxa"/>
            <w:left w:w="108" w:type="dxa"/>
            <w:bottom w:w="0" w:type="dxa"/>
            <w:right w:w="108" w:type="dxa"/>
          </w:tblCellMar>
        </w:tblPrEx>
        <w:trPr>
          <w:trHeight w:val="415"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47</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提示牌</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450*</w:t>
            </w:r>
            <w:r>
              <w:rPr>
                <w:rFonts w:hint="eastAsia" w:ascii="宋体" w:hAnsi="宋体" w:cs="Arial"/>
                <w:color w:val="000000"/>
                <w:kern w:val="0"/>
                <w:sz w:val="20"/>
              </w:rPr>
              <w:t>高</w:t>
            </w:r>
            <w:r>
              <w:rPr>
                <w:rFonts w:ascii="宋体" w:hAnsi="宋体" w:cs="Arial"/>
                <w:color w:val="000000"/>
                <w:kern w:val="0"/>
                <w:sz w:val="20"/>
              </w:rPr>
              <w:t>200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16</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铝板反光膜</w:t>
            </w:r>
          </w:p>
        </w:tc>
      </w:tr>
      <w:tr>
        <w:tblPrEx>
          <w:tblCellMar>
            <w:top w:w="0" w:type="dxa"/>
            <w:left w:w="108" w:type="dxa"/>
            <w:bottom w:w="0" w:type="dxa"/>
            <w:right w:w="108" w:type="dxa"/>
          </w:tblCellMar>
        </w:tblPrEx>
        <w:trPr>
          <w:trHeight w:val="421"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48</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提示即时贴</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800*</w:t>
            </w:r>
            <w:r>
              <w:rPr>
                <w:rFonts w:hint="eastAsia" w:ascii="宋体" w:hAnsi="宋体" w:cs="Arial"/>
                <w:color w:val="000000"/>
                <w:kern w:val="0"/>
                <w:sz w:val="20"/>
              </w:rPr>
              <w:t>高</w:t>
            </w:r>
            <w:r>
              <w:rPr>
                <w:rFonts w:ascii="宋体" w:hAnsi="宋体" w:cs="Arial"/>
                <w:color w:val="000000"/>
                <w:kern w:val="0"/>
                <w:sz w:val="20"/>
              </w:rPr>
              <w:t>1200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6</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即时贴</w:t>
            </w:r>
          </w:p>
        </w:tc>
      </w:tr>
      <w:tr>
        <w:tblPrEx>
          <w:tblCellMar>
            <w:top w:w="0" w:type="dxa"/>
            <w:left w:w="108" w:type="dxa"/>
            <w:bottom w:w="0" w:type="dxa"/>
            <w:right w:w="108" w:type="dxa"/>
          </w:tblCellMar>
        </w:tblPrEx>
        <w:trPr>
          <w:trHeight w:val="41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49</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提示即时贴</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宽</w:t>
            </w:r>
            <w:r>
              <w:rPr>
                <w:rFonts w:ascii="宋体" w:hAnsi="宋体" w:cs="Arial"/>
                <w:color w:val="000000"/>
                <w:kern w:val="0"/>
                <w:sz w:val="20"/>
              </w:rPr>
              <w:t>650*</w:t>
            </w:r>
            <w:r>
              <w:rPr>
                <w:rFonts w:hint="eastAsia" w:ascii="宋体" w:hAnsi="宋体" w:cs="Arial"/>
                <w:color w:val="000000"/>
                <w:kern w:val="0"/>
                <w:sz w:val="20"/>
              </w:rPr>
              <w:t>高</w:t>
            </w:r>
            <w:r>
              <w:rPr>
                <w:rFonts w:ascii="宋体" w:hAnsi="宋体" w:cs="Arial"/>
                <w:color w:val="000000"/>
                <w:kern w:val="0"/>
                <w:sz w:val="20"/>
              </w:rPr>
              <w:t>1200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4</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20"/>
              </w:rPr>
            </w:pPr>
            <w:r>
              <w:rPr>
                <w:rFonts w:hint="eastAsia" w:ascii="宋体" w:hAnsi="宋体" w:cs="Arial"/>
                <w:kern w:val="0"/>
                <w:sz w:val="20"/>
              </w:rPr>
              <w:t>即时贴</w:t>
            </w:r>
          </w:p>
        </w:tc>
      </w:tr>
      <w:tr>
        <w:tblPrEx>
          <w:tblCellMar>
            <w:top w:w="0" w:type="dxa"/>
            <w:left w:w="108" w:type="dxa"/>
            <w:bottom w:w="0" w:type="dxa"/>
            <w:right w:w="108" w:type="dxa"/>
          </w:tblCellMar>
        </w:tblPrEx>
        <w:trPr>
          <w:trHeight w:val="419"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50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0"/>
              </w:rPr>
            </w:pPr>
          </w:p>
        </w:tc>
        <w:tc>
          <w:tcPr>
            <w:tcW w:w="3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安全凸镜</w:t>
            </w:r>
          </w:p>
        </w:tc>
        <w:tc>
          <w:tcPr>
            <w:tcW w:w="28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直径</w:t>
            </w:r>
            <w:r>
              <w:rPr>
                <w:rFonts w:ascii="宋体" w:hAnsi="宋体" w:cs="Arial"/>
                <w:color w:val="000000"/>
                <w:kern w:val="0"/>
                <w:sz w:val="20"/>
              </w:rPr>
              <w:t>600</w:t>
            </w:r>
          </w:p>
        </w:tc>
        <w:tc>
          <w:tcPr>
            <w:tcW w:w="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rPr>
            </w:pPr>
            <w:r>
              <w:rPr>
                <w:rFonts w:ascii="Arial" w:hAnsi="Arial" w:cs="Arial"/>
                <w:kern w:val="0"/>
                <w:sz w:val="20"/>
              </w:rPr>
              <w:t>8</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rPr>
            </w:pPr>
            <w:r>
              <w:rPr>
                <w:rFonts w:hint="eastAsia" w:ascii="宋体" w:hAnsi="宋体" w:cs="Arial"/>
                <w:color w:val="000000"/>
                <w:kern w:val="0"/>
                <w:sz w:val="20"/>
              </w:rPr>
              <w:t>贴墙安装安全凸镜</w:t>
            </w:r>
          </w:p>
        </w:tc>
      </w:tr>
      <w:tr>
        <w:tblPrEx>
          <w:tblCellMar>
            <w:top w:w="0" w:type="dxa"/>
            <w:left w:w="0" w:type="dxa"/>
            <w:bottom w:w="0" w:type="dxa"/>
            <w:right w:w="0" w:type="dxa"/>
          </w:tblCellMar>
        </w:tblPrEx>
        <w:trPr>
          <w:trHeight w:val="396" w:hRule="atLeast"/>
        </w:trPr>
        <w:tc>
          <w:tcPr>
            <w:tcW w:w="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Arial" w:hAnsi="Arial" w:cs="Arial"/>
                <w:kern w:val="0"/>
                <w:sz w:val="20"/>
              </w:rPr>
            </w:pPr>
            <w:r>
              <w:rPr>
                <w:rFonts w:ascii="Arial" w:hAnsi="Arial" w:cs="Arial"/>
                <w:kern w:val="0"/>
                <w:sz w:val="20"/>
              </w:rPr>
              <w:t>51</w:t>
            </w:r>
          </w:p>
        </w:tc>
        <w:tc>
          <w:tcPr>
            <w:tcW w:w="161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其他</w:t>
            </w:r>
          </w:p>
        </w:tc>
        <w:tc>
          <w:tcPr>
            <w:tcW w:w="3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工作吊牌内页快印(双面)</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20"/>
              </w:rPr>
            </w:pPr>
            <w:r>
              <w:rPr>
                <w:rFonts w:hint="eastAsia" w:ascii="宋体" w:hAnsi="宋体" w:cs="Arial"/>
                <w:color w:val="000000"/>
                <w:kern w:val="0"/>
                <w:sz w:val="20"/>
              </w:rPr>
              <w:t>宽60*高84</w:t>
            </w:r>
          </w:p>
        </w:tc>
        <w:tc>
          <w:tcPr>
            <w:tcW w:w="991"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Arial"/>
                <w:kern w:val="0"/>
                <w:sz w:val="20"/>
              </w:rPr>
              <w:t>张</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50</w:t>
            </w:r>
          </w:p>
        </w:tc>
        <w:tc>
          <w:tcPr>
            <w:tcW w:w="4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300g铜版纸覆光膜</w:t>
            </w:r>
          </w:p>
        </w:tc>
      </w:tr>
      <w:tr>
        <w:tblPrEx>
          <w:tblCellMar>
            <w:top w:w="0" w:type="dxa"/>
            <w:left w:w="0" w:type="dxa"/>
            <w:bottom w:w="0" w:type="dxa"/>
            <w:right w:w="0" w:type="dxa"/>
          </w:tblCellMar>
        </w:tblPrEx>
        <w:trPr>
          <w:trHeight w:val="402" w:hRule="atLeast"/>
        </w:trPr>
        <w:tc>
          <w:tcPr>
            <w:tcW w:w="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Arial" w:hAnsi="Arial" w:cs="Arial"/>
                <w:kern w:val="0"/>
                <w:sz w:val="20"/>
              </w:rPr>
            </w:pPr>
            <w:r>
              <w:rPr>
                <w:rFonts w:ascii="Arial" w:hAnsi="Arial" w:cs="Arial"/>
                <w:kern w:val="0"/>
                <w:sz w:val="20"/>
              </w:rPr>
              <w:t>52</w:t>
            </w:r>
          </w:p>
        </w:tc>
        <w:tc>
          <w:tcPr>
            <w:tcW w:w="1616" w:type="dxa"/>
            <w:vMerge w:val="continue"/>
            <w:tcBorders>
              <w:left w:val="single" w:color="000000" w:sz="4" w:space="0"/>
              <w:right w:val="single" w:color="000000" w:sz="4" w:space="0"/>
            </w:tcBorders>
            <w:vAlign w:val="center"/>
          </w:tcPr>
          <w:p>
            <w:pPr>
              <w:widowControl/>
              <w:jc w:val="center"/>
              <w:rPr>
                <w:rFonts w:ascii="宋体" w:hAnsi="宋体" w:cs="Arial"/>
                <w:kern w:val="0"/>
                <w:sz w:val="20"/>
              </w:rPr>
            </w:pPr>
          </w:p>
        </w:tc>
        <w:tc>
          <w:tcPr>
            <w:tcW w:w="3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工作桌签内页快印(双面)</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20"/>
              </w:rPr>
            </w:pPr>
            <w:r>
              <w:rPr>
                <w:rFonts w:hint="eastAsia" w:ascii="宋体" w:hAnsi="宋体" w:cs="Arial"/>
                <w:color w:val="000000"/>
                <w:kern w:val="0"/>
                <w:sz w:val="20"/>
              </w:rPr>
              <w:t>宽145*高88</w:t>
            </w:r>
          </w:p>
        </w:tc>
        <w:tc>
          <w:tcPr>
            <w:tcW w:w="991"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Arial"/>
                <w:kern w:val="0"/>
                <w:sz w:val="20"/>
              </w:rPr>
              <w:t>张</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50</w:t>
            </w:r>
          </w:p>
        </w:tc>
        <w:tc>
          <w:tcPr>
            <w:tcW w:w="4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200g铜版纸</w:t>
            </w:r>
          </w:p>
        </w:tc>
      </w:tr>
      <w:tr>
        <w:tblPrEx>
          <w:tblCellMar>
            <w:top w:w="0" w:type="dxa"/>
            <w:left w:w="0" w:type="dxa"/>
            <w:bottom w:w="0" w:type="dxa"/>
            <w:right w:w="0" w:type="dxa"/>
          </w:tblCellMar>
        </w:tblPrEx>
        <w:trPr>
          <w:trHeight w:val="283" w:hRule="atLeast"/>
        </w:trPr>
        <w:tc>
          <w:tcPr>
            <w:tcW w:w="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Arial" w:hAnsi="Arial" w:cs="Arial"/>
                <w:kern w:val="0"/>
                <w:sz w:val="20"/>
              </w:rPr>
            </w:pPr>
            <w:r>
              <w:rPr>
                <w:rFonts w:hint="eastAsia" w:ascii="Arial" w:hAnsi="Arial" w:cs="Arial"/>
                <w:kern w:val="0"/>
                <w:sz w:val="20"/>
              </w:rPr>
              <w:t>53</w:t>
            </w:r>
          </w:p>
        </w:tc>
        <w:tc>
          <w:tcPr>
            <w:tcW w:w="1616"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p>
        </w:tc>
        <w:tc>
          <w:tcPr>
            <w:tcW w:w="3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户外宣传栏</w:t>
            </w:r>
          </w:p>
        </w:tc>
        <w:tc>
          <w:tcPr>
            <w:tcW w:w="2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长7000*高2600*宽500</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个</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 w:val="20"/>
              </w:rPr>
            </w:pPr>
            <w:r>
              <w:rPr>
                <w:rFonts w:hint="eastAsia" w:ascii="宋体" w:hAnsi="宋体" w:cs="Arial"/>
                <w:kern w:val="0"/>
                <w:sz w:val="20"/>
              </w:rPr>
              <w:t>1</w:t>
            </w:r>
          </w:p>
        </w:tc>
        <w:tc>
          <w:tcPr>
            <w:tcW w:w="48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kern w:val="0"/>
                <w:sz w:val="20"/>
              </w:rPr>
            </w:pPr>
            <w:r>
              <w:rPr>
                <w:rFonts w:hint="eastAsia" w:ascii="宋体" w:hAnsi="宋体" w:cs="Arial"/>
                <w:kern w:val="0"/>
                <w:sz w:val="20"/>
              </w:rPr>
              <w:t>材质：镀锌钢板 工艺：1.表面静电喷塑处理； 2.顶棚采用镀锌管骨架，外包镀锌板折边，钢板激光切割焊接； 3.立柱采用镀锌管，钢板激光切割焊接； 4.箱体采用镀锌板折边，门框采用全玻铝型材，视窗采用6/8mm丝印钢化玻璃。</w:t>
            </w:r>
          </w:p>
        </w:tc>
      </w:tr>
      <w:tr>
        <w:tblPrEx>
          <w:tblCellMar>
            <w:top w:w="0" w:type="dxa"/>
            <w:left w:w="0" w:type="dxa"/>
            <w:bottom w:w="0" w:type="dxa"/>
            <w:right w:w="0" w:type="dxa"/>
          </w:tblCellMar>
        </w:tblPrEx>
        <w:trPr>
          <w:trHeight w:val="283" w:hRule="atLeast"/>
        </w:trPr>
        <w:tc>
          <w:tcPr>
            <w:tcW w:w="1518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说明：1、以上规格仅供参考，供应商响应文件报价单中的尺寸需供应商自行实地测量，并确保与提供的效果图比例一致。</w:t>
            </w:r>
          </w:p>
          <w:p>
            <w:pPr>
              <w:widowControl/>
              <w:ind w:firstLine="780" w:firstLineChars="3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2、以上项目、数量为初步匡算，最终结算依实际</w:t>
            </w:r>
            <w:r>
              <w:rPr>
                <w:rFonts w:hint="eastAsia" w:ascii="仿宋" w:hAnsi="仿宋" w:eastAsia="仿宋" w:cs="仿宋"/>
                <w:kern w:val="0"/>
                <w:szCs w:val="21"/>
              </w:rPr>
              <w:t>数量</w:t>
            </w:r>
            <w:r>
              <w:rPr>
                <w:rFonts w:hint="eastAsia" w:ascii="仿宋" w:hAnsi="仿宋" w:eastAsia="仿宋" w:cs="仿宋"/>
                <w:color w:val="000000"/>
                <w:kern w:val="0"/>
                <w:szCs w:val="21"/>
              </w:rPr>
              <w:t>核算。</w:t>
            </w:r>
          </w:p>
        </w:tc>
      </w:tr>
    </w:tbl>
    <w:p>
      <w:pPr>
        <w:tabs>
          <w:tab w:val="left" w:pos="1050"/>
          <w:tab w:val="right" w:leader="dot" w:pos="9402"/>
        </w:tabs>
        <w:spacing w:beforeLines="100" w:line="600" w:lineRule="exact"/>
        <w:outlineLvl w:val="0"/>
        <w:rPr>
          <w:rFonts w:ascii="宋体" w:hAnsi="宋体" w:eastAsia="宋体"/>
          <w:b/>
          <w:bCs/>
          <w:w w:val="80"/>
          <w:sz w:val="36"/>
          <w:szCs w:val="36"/>
        </w:rPr>
        <w:sectPr>
          <w:pgSz w:w="16838" w:h="11906" w:orient="landscape"/>
          <w:pgMar w:top="1418" w:right="1276" w:bottom="851" w:left="709" w:header="851" w:footer="448" w:gutter="0"/>
          <w:cols w:space="720" w:num="1"/>
          <w:docGrid w:linePitch="380" w:charSpace="-5735"/>
        </w:sectPr>
      </w:pPr>
    </w:p>
    <w:p>
      <w:p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第四章</w:t>
      </w:r>
      <w:bookmarkStart w:id="4" w:name="_Toc182848996"/>
      <w:r>
        <w:rPr>
          <w:rFonts w:hint="eastAsia" w:ascii="宋体" w:hAnsi="宋体" w:eastAsia="宋体" w:cs="宋体"/>
          <w:b/>
          <w:bCs/>
          <w:w w:val="80"/>
          <w:sz w:val="36"/>
          <w:szCs w:val="36"/>
          <w:lang w:val="en-US" w:eastAsia="zh-CN"/>
        </w:rPr>
        <w:t xml:space="preserve">  资格审查及</w:t>
      </w:r>
      <w:r>
        <w:rPr>
          <w:rFonts w:hint="eastAsia" w:ascii="宋体" w:hAnsi="宋体" w:eastAsia="宋体" w:cs="宋体"/>
          <w:b/>
          <w:bCs/>
          <w:w w:val="80"/>
          <w:sz w:val="36"/>
          <w:szCs w:val="36"/>
        </w:rPr>
        <w:t>评审程序</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一、相关说明</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本次竞争性磋商依据《中华人民共和国政府采购法》、《政府采购竞争性磋商采购方式管理暂行办法》及相关法规，依法成立磋商小组。磋商小组由采购人代表和评审专家共计</w:t>
      </w:r>
      <w:r>
        <w:rPr>
          <w:rFonts w:ascii="宋体" w:hAnsi="宋体" w:eastAsia="宋体" w:cs="宋体"/>
          <w:sz w:val="24"/>
          <w:szCs w:val="24"/>
        </w:rPr>
        <w:t>3</w:t>
      </w:r>
      <w:r>
        <w:rPr>
          <w:rFonts w:hint="eastAsia" w:ascii="宋体" w:hAnsi="宋体" w:eastAsia="宋体" w:cs="宋体"/>
          <w:sz w:val="24"/>
          <w:szCs w:val="24"/>
        </w:rPr>
        <w:t>人及以上单数组成，其中评审专家人数不得少于磋商小组成员总数的</w:t>
      </w:r>
      <w:r>
        <w:rPr>
          <w:rFonts w:ascii="宋体" w:hAnsi="宋体" w:eastAsia="宋体" w:cs="宋体"/>
          <w:sz w:val="24"/>
          <w:szCs w:val="24"/>
        </w:rPr>
        <w:t>2/3</w:t>
      </w:r>
      <w:r>
        <w:rPr>
          <w:rFonts w:hint="eastAsia" w:ascii="宋体" w:hAnsi="宋体" w:eastAsia="宋体" w:cs="宋体"/>
          <w:sz w:val="24"/>
          <w:szCs w:val="24"/>
        </w:rPr>
        <w:t>。</w:t>
      </w:r>
    </w:p>
    <w:p>
      <w:pPr>
        <w:snapToGrid w:val="0"/>
        <w:spacing w:line="420" w:lineRule="exact"/>
        <w:ind w:firstLine="480" w:firstLineChars="200"/>
        <w:outlineLvl w:val="1"/>
        <w:rPr>
          <w:rFonts w:ascii="宋体" w:hAnsi="宋体" w:eastAsia="宋体"/>
          <w:sz w:val="24"/>
          <w:szCs w:val="24"/>
        </w:rPr>
      </w:pP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rPr>
        <w:t>磋商供应商的法定代表人或被委托受权人须持身份证准时参加磋商采购会。</w:t>
      </w:r>
    </w:p>
    <w:p>
      <w:pPr>
        <w:snapToGrid w:val="0"/>
        <w:spacing w:line="420" w:lineRule="exact"/>
        <w:ind w:firstLine="482" w:firstLineChars="200"/>
        <w:outlineLvl w:val="1"/>
        <w:rPr>
          <w:rFonts w:hint="eastAsia" w:ascii="宋体" w:hAnsi="宋体" w:eastAsia="宋体" w:cs="宋体"/>
          <w:b/>
          <w:bCs/>
          <w:sz w:val="24"/>
          <w:szCs w:val="24"/>
          <w:lang w:eastAsia="zh-CN"/>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报名及资格审查程序</w:t>
      </w: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1.时间：2021年6月21日上午9:00——11:00。</w:t>
      </w:r>
    </w:p>
    <w:p>
      <w:pPr>
        <w:pStyle w:val="2"/>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地点：南通市人力资源大厦510会议室，如有变动另行通知</w:t>
      </w:r>
      <w:r>
        <w:rPr>
          <w:rFonts w:hint="eastAsia" w:ascii="宋体" w:hAnsi="宋体" w:eastAsia="宋体" w:cs="宋体"/>
          <w:b w:val="0"/>
          <w:bCs w:val="0"/>
          <w:sz w:val="24"/>
          <w:szCs w:val="24"/>
          <w:lang w:eastAsia="zh-CN"/>
        </w:rPr>
        <w:t>。</w:t>
      </w:r>
    </w:p>
    <w:p>
      <w:pPr>
        <w:pStyle w:val="2"/>
        <w:rPr>
          <w:rFonts w:ascii="宋体" w:hAnsi="宋体" w:eastAsia="宋体"/>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sz w:val="24"/>
          <w:szCs w:val="24"/>
        </w:rPr>
        <w:t>资格审查中包含对磋商响应供应商的信用记录进行审查，具体如下：</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）采购人将在查询磋商响应供应商的信用记录。磋商响应供应商存在不良信用记录的，其投标将被认定为无效。</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不良信用记录指：磋商响应供应商在中国政府采购网（</w:t>
      </w:r>
      <w:r>
        <w:rPr>
          <w:rFonts w:ascii="宋体" w:hAnsi="宋体" w:eastAsia="宋体" w:cs="宋体"/>
          <w:sz w:val="24"/>
          <w:szCs w:val="24"/>
        </w:rPr>
        <w:t>www.ccgp.gov.cn</w:t>
      </w:r>
      <w:r>
        <w:rPr>
          <w:rFonts w:hint="eastAsia" w:ascii="宋体" w:hAnsi="宋体" w:eastAsia="宋体" w:cs="宋体"/>
          <w:sz w:val="24"/>
          <w:szCs w:val="24"/>
        </w:rPr>
        <w:t>）被列入政府采购严重违法失信行为记录名单，或在“信用中国”网站（</w:t>
      </w:r>
      <w:r>
        <w:rPr>
          <w:rFonts w:ascii="宋体" w:hAnsi="宋体" w:eastAsia="宋体" w:cs="宋体"/>
          <w:sz w:val="24"/>
          <w:szCs w:val="24"/>
        </w:rPr>
        <w:t>www.creditchina.gov.cn</w:t>
      </w:r>
      <w:r>
        <w:rPr>
          <w:rFonts w:hint="eastAsia" w:ascii="宋体" w:hAnsi="宋体" w:eastAsia="宋体" w:cs="宋体"/>
          <w:sz w:val="24"/>
          <w:szCs w:val="24"/>
        </w:rPr>
        <w:t>）被列入失信被执行人、重大税收违法案件当事人名单，以及存在《中华人民共和国政府采购法实施条例》第十九条规定的行政处罚记录。</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）查询及记录方式：采购人将查询网页打印、签字并存档备查。磋商响应供应商不良信用记录以采购人查询结果为准。</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①在本竞争性磋商采购文件规定的查询时间之后，网站信息发生的任何变更均不再作为评标依据。</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②磋商响应供应商自行提供的与网站信息不一致的其他证明材料亦不作为资格核对的依据。</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w:t>
      </w:r>
      <w:r>
        <w:rPr>
          <w:rFonts w:hint="eastAsia" w:ascii="宋体" w:hAnsi="宋体" w:eastAsia="宋体" w:cs="宋体"/>
          <w:sz w:val="24"/>
          <w:szCs w:val="24"/>
        </w:rPr>
        <w:t>资格审查标准</w:t>
      </w:r>
    </w:p>
    <w:p>
      <w:pPr>
        <w:adjustRightInd w:val="0"/>
        <w:snapToGrid w:val="0"/>
        <w:spacing w:line="420" w:lineRule="exact"/>
        <w:jc w:val="center"/>
        <w:rPr>
          <w:rFonts w:ascii="宋体" w:hAnsi="宋体" w:eastAsia="宋体"/>
          <w:b/>
          <w:bCs/>
          <w:sz w:val="24"/>
          <w:szCs w:val="24"/>
        </w:rPr>
      </w:pPr>
      <w:r>
        <w:rPr>
          <w:rFonts w:hint="eastAsia" w:ascii="宋体" w:hAnsi="宋体" w:eastAsia="宋体" w:cs="宋体"/>
          <w:sz w:val="24"/>
          <w:szCs w:val="24"/>
        </w:rPr>
        <w:t>资格审查标准一览表</w:t>
      </w:r>
    </w:p>
    <w:tbl>
      <w:tblPr>
        <w:tblStyle w:val="47"/>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061"/>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752" w:type="dxa"/>
            <w:vAlign w:val="center"/>
          </w:tcPr>
          <w:p>
            <w:pPr>
              <w:spacing w:line="420" w:lineRule="exact"/>
              <w:jc w:val="center"/>
              <w:rPr>
                <w:rFonts w:ascii="宋体" w:hAnsi="宋体" w:eastAsia="宋体"/>
                <w:sz w:val="24"/>
                <w:szCs w:val="24"/>
              </w:rPr>
            </w:pPr>
            <w:r>
              <w:rPr>
                <w:rFonts w:hint="eastAsia" w:ascii="宋体" w:hAnsi="宋体" w:eastAsia="宋体" w:cs="宋体"/>
                <w:kern w:val="0"/>
                <w:sz w:val="24"/>
                <w:szCs w:val="24"/>
              </w:rPr>
              <w:t>序号</w:t>
            </w:r>
          </w:p>
        </w:tc>
        <w:tc>
          <w:tcPr>
            <w:tcW w:w="8061" w:type="dxa"/>
            <w:vAlign w:val="center"/>
          </w:tcPr>
          <w:p>
            <w:pPr>
              <w:spacing w:line="420" w:lineRule="exact"/>
              <w:jc w:val="center"/>
              <w:rPr>
                <w:rFonts w:ascii="宋体" w:hAnsi="宋体" w:eastAsia="宋体"/>
                <w:sz w:val="24"/>
                <w:szCs w:val="24"/>
              </w:rPr>
            </w:pPr>
            <w:r>
              <w:rPr>
                <w:rFonts w:hint="eastAsia" w:ascii="宋体" w:hAnsi="宋体" w:eastAsia="宋体" w:cs="宋体"/>
                <w:kern w:val="0"/>
                <w:sz w:val="24"/>
                <w:szCs w:val="24"/>
              </w:rPr>
              <w:t>审查条件</w:t>
            </w:r>
          </w:p>
        </w:tc>
        <w:tc>
          <w:tcPr>
            <w:tcW w:w="1426" w:type="dxa"/>
            <w:vAlign w:val="center"/>
          </w:tcPr>
          <w:p>
            <w:pPr>
              <w:spacing w:line="420" w:lineRule="exact"/>
              <w:jc w:val="center"/>
              <w:rPr>
                <w:rFonts w:ascii="宋体" w:hAnsi="宋体" w:eastAsia="宋体"/>
                <w:sz w:val="24"/>
                <w:szCs w:val="24"/>
              </w:rPr>
            </w:pPr>
            <w:r>
              <w:rPr>
                <w:rFonts w:hint="eastAsia" w:ascii="宋体" w:hAnsi="宋体" w:eastAsia="宋体" w:cs="宋体"/>
                <w:kern w:val="0"/>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52" w:type="dxa"/>
            <w:vAlign w:val="center"/>
          </w:tcPr>
          <w:p>
            <w:pPr>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p>
        </w:tc>
        <w:tc>
          <w:tcPr>
            <w:tcW w:w="8061" w:type="dxa"/>
            <w:vAlign w:val="center"/>
          </w:tcPr>
          <w:p>
            <w:pPr>
              <w:spacing w:line="420" w:lineRule="exact"/>
              <w:rPr>
                <w:rFonts w:ascii="宋体" w:hAnsi="宋体" w:eastAsia="宋体"/>
                <w:kern w:val="0"/>
                <w:sz w:val="24"/>
                <w:szCs w:val="24"/>
              </w:rPr>
            </w:pPr>
            <w:r>
              <w:rPr>
                <w:rFonts w:hint="eastAsia" w:ascii="宋体" w:hAnsi="宋体" w:eastAsia="宋体" w:cs="宋体"/>
                <w:sz w:val="24"/>
                <w:szCs w:val="24"/>
              </w:rPr>
              <w:t>提供磋商响应供应商的《营业执照》原件的复印件，经营范围包含</w:t>
            </w:r>
            <w:r>
              <w:rPr>
                <w:rFonts w:hint="eastAsia" w:ascii="宋体" w:hAnsi="宋体" w:eastAsia="宋体" w:cs="宋体"/>
                <w:color w:val="000000"/>
                <w:sz w:val="24"/>
                <w:szCs w:val="24"/>
              </w:rPr>
              <w:t>标识标牌设计制作或广告设计安装</w:t>
            </w:r>
            <w:r>
              <w:rPr>
                <w:rFonts w:hint="eastAsia" w:ascii="宋体" w:hAnsi="宋体" w:eastAsia="宋体" w:cs="宋体"/>
                <w:sz w:val="24"/>
                <w:szCs w:val="24"/>
              </w:rPr>
              <w:t>（须加盖公章）。</w:t>
            </w:r>
          </w:p>
        </w:tc>
        <w:tc>
          <w:tcPr>
            <w:tcW w:w="1426" w:type="dxa"/>
            <w:vAlign w:val="center"/>
          </w:tcPr>
          <w:p>
            <w:pPr>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52" w:type="dxa"/>
            <w:vAlign w:val="center"/>
          </w:tcPr>
          <w:p>
            <w:pPr>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p>
        </w:tc>
        <w:tc>
          <w:tcPr>
            <w:tcW w:w="8061" w:type="dxa"/>
            <w:vAlign w:val="center"/>
          </w:tcPr>
          <w:p>
            <w:pPr>
              <w:spacing w:line="420" w:lineRule="exact"/>
              <w:rPr>
                <w:rFonts w:ascii="宋体" w:hAnsi="宋体" w:eastAsia="宋体"/>
                <w:sz w:val="24"/>
                <w:szCs w:val="24"/>
              </w:rPr>
            </w:pPr>
            <w:r>
              <w:rPr>
                <w:rFonts w:hint="eastAsia" w:ascii="宋体" w:hAnsi="宋体" w:eastAsia="宋体" w:cs="宋体"/>
                <w:sz w:val="24"/>
                <w:szCs w:val="24"/>
              </w:rPr>
              <w:t>法定代表人参加磋商的，必须提供本人身份证原件的复印件（须加盖公章）；非法定代表人参加的，必须提供法定代表人签名或盖章的授权委托书、委托代理人身份证这</w:t>
            </w:r>
            <w:r>
              <w:rPr>
                <w:rFonts w:hint="eastAsia" w:ascii="宋体" w:hAnsi="宋体" w:eastAsia="宋体" w:cs="宋体"/>
                <w:sz w:val="24"/>
                <w:szCs w:val="24"/>
                <w:lang w:val="en-US" w:eastAsia="zh-CN"/>
              </w:rPr>
              <w:t>2</w:t>
            </w:r>
            <w:r>
              <w:rPr>
                <w:rFonts w:hint="eastAsia" w:ascii="宋体" w:hAnsi="宋体" w:eastAsia="宋体" w:cs="宋体"/>
                <w:sz w:val="24"/>
                <w:szCs w:val="24"/>
              </w:rPr>
              <w:t>项材料原件的复印件（须加盖公章）。</w:t>
            </w:r>
          </w:p>
        </w:tc>
        <w:tc>
          <w:tcPr>
            <w:tcW w:w="1426" w:type="dxa"/>
            <w:vAlign w:val="center"/>
          </w:tcPr>
          <w:p>
            <w:pPr>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52" w:type="dxa"/>
            <w:vAlign w:val="center"/>
          </w:tcPr>
          <w:p>
            <w:pPr>
              <w:spacing w:line="420" w:lineRule="exact"/>
              <w:jc w:val="center"/>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w:t>
            </w:r>
          </w:p>
        </w:tc>
        <w:tc>
          <w:tcPr>
            <w:tcW w:w="8061" w:type="dxa"/>
            <w:vAlign w:val="center"/>
          </w:tcPr>
          <w:p>
            <w:pPr>
              <w:snapToGrid w:val="0"/>
              <w:spacing w:line="420" w:lineRule="exact"/>
              <w:rPr>
                <w:rFonts w:ascii="宋体" w:hAnsi="宋体" w:eastAsia="宋体"/>
                <w:sz w:val="24"/>
                <w:szCs w:val="24"/>
              </w:rPr>
            </w:pPr>
            <w:r>
              <w:rPr>
                <w:rFonts w:hint="eastAsia" w:ascii="宋体" w:hAnsi="宋体" w:eastAsia="宋体" w:cs="宋体"/>
                <w:sz w:val="24"/>
                <w:szCs w:val="24"/>
              </w:rPr>
              <w:t>磋商响应供应商须提供参与本次项目政府采购活动前三年内在经营活动中没有重大违法记录的书面《无重大违法记录声明函》（须加盖公章）。</w:t>
            </w:r>
          </w:p>
        </w:tc>
        <w:tc>
          <w:tcPr>
            <w:tcW w:w="1426" w:type="dxa"/>
            <w:vAlign w:val="center"/>
          </w:tcPr>
          <w:p>
            <w:pPr>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52" w:type="dxa"/>
            <w:vAlign w:val="center"/>
          </w:tcPr>
          <w:p>
            <w:pPr>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w:t>
            </w:r>
          </w:p>
        </w:tc>
        <w:tc>
          <w:tcPr>
            <w:tcW w:w="8061" w:type="dxa"/>
            <w:vAlign w:val="center"/>
          </w:tcPr>
          <w:p>
            <w:pPr>
              <w:spacing w:line="420" w:lineRule="exact"/>
              <w:rPr>
                <w:rFonts w:ascii="宋体" w:hAnsi="宋体" w:eastAsia="宋体"/>
                <w:kern w:val="0"/>
                <w:sz w:val="24"/>
                <w:szCs w:val="24"/>
              </w:rPr>
            </w:pPr>
            <w:r>
              <w:rPr>
                <w:rFonts w:hint="eastAsia" w:ascii="宋体" w:hAnsi="宋体" w:eastAsia="宋体" w:cs="宋体"/>
                <w:sz w:val="24"/>
                <w:szCs w:val="24"/>
              </w:rPr>
              <w:t>磋商响应供应商还须提供谈判文件第八章</w:t>
            </w:r>
            <w:r>
              <w:rPr>
                <w:rFonts w:hint="eastAsia" w:ascii="宋体" w:hAnsi="宋体" w:eastAsia="宋体" w:cs="宋体"/>
                <w:sz w:val="24"/>
                <w:szCs w:val="24"/>
                <w:lang w:eastAsia="zh-CN"/>
              </w:rPr>
              <w:t>中的关于</w:t>
            </w:r>
            <w:r>
              <w:rPr>
                <w:rFonts w:hint="eastAsia" w:ascii="宋体" w:hAnsi="宋体" w:eastAsia="宋体" w:cs="宋体"/>
                <w:sz w:val="24"/>
                <w:szCs w:val="24"/>
              </w:rPr>
              <w:t>资格</w:t>
            </w:r>
            <w:r>
              <w:rPr>
                <w:rFonts w:hint="eastAsia" w:ascii="宋体" w:hAnsi="宋体" w:eastAsia="宋体" w:cs="宋体"/>
                <w:sz w:val="24"/>
                <w:szCs w:val="24"/>
                <w:lang w:eastAsia="zh-CN"/>
              </w:rPr>
              <w:t>审查</w:t>
            </w:r>
            <w:r>
              <w:rPr>
                <w:rFonts w:hint="eastAsia" w:ascii="宋体" w:hAnsi="宋体" w:eastAsia="宋体" w:cs="宋体"/>
                <w:sz w:val="24"/>
                <w:szCs w:val="24"/>
              </w:rPr>
              <w:t>材料相关</w:t>
            </w:r>
            <w:r>
              <w:rPr>
                <w:rFonts w:hint="eastAsia" w:ascii="宋体" w:hAnsi="宋体" w:eastAsia="宋体" w:cs="宋体"/>
                <w:sz w:val="24"/>
                <w:szCs w:val="24"/>
                <w:lang w:eastAsia="zh-CN"/>
              </w:rPr>
              <w:t>文件。</w:t>
            </w:r>
          </w:p>
        </w:tc>
        <w:tc>
          <w:tcPr>
            <w:tcW w:w="1426" w:type="dxa"/>
            <w:vAlign w:val="center"/>
          </w:tcPr>
          <w:p>
            <w:pPr>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52" w:type="dxa"/>
            <w:vAlign w:val="center"/>
          </w:tcPr>
          <w:p>
            <w:pPr>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p>
        </w:tc>
        <w:tc>
          <w:tcPr>
            <w:tcW w:w="8061" w:type="dxa"/>
            <w:vAlign w:val="center"/>
          </w:tcPr>
          <w:p>
            <w:pPr>
              <w:spacing w:line="420" w:lineRule="exact"/>
              <w:rPr>
                <w:rFonts w:ascii="宋体" w:hAnsi="宋体" w:eastAsia="宋体"/>
                <w:sz w:val="24"/>
                <w:szCs w:val="24"/>
              </w:rPr>
            </w:pPr>
            <w:r>
              <w:rPr>
                <w:rFonts w:hint="eastAsia" w:ascii="宋体" w:hAnsi="宋体" w:eastAsia="宋体" w:cs="宋体"/>
                <w:sz w:val="24"/>
                <w:szCs w:val="24"/>
              </w:rPr>
              <w:t>信用评审。</w:t>
            </w:r>
          </w:p>
        </w:tc>
        <w:tc>
          <w:tcPr>
            <w:tcW w:w="1426" w:type="dxa"/>
            <w:vAlign w:val="center"/>
          </w:tcPr>
          <w:p>
            <w:pPr>
              <w:spacing w:line="420" w:lineRule="exact"/>
              <w:rPr>
                <w:rFonts w:ascii="宋体" w:hAnsi="宋体" w:eastAsia="宋体"/>
                <w:sz w:val="24"/>
                <w:szCs w:val="24"/>
              </w:rPr>
            </w:pPr>
          </w:p>
        </w:tc>
      </w:tr>
    </w:tbl>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竞争性磋商评审程序</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开标后，采购人依法根据竞争性磋商文件的规定和要求，对磋商响应供应商提供的资格证明材料是否齐全、是否符合竞争性磋商文件规定的资格要求进行</w:t>
      </w:r>
      <w:r>
        <w:rPr>
          <w:rFonts w:hint="eastAsia" w:ascii="宋体" w:hAnsi="宋体" w:eastAsia="宋体" w:cs="宋体"/>
          <w:sz w:val="24"/>
          <w:szCs w:val="24"/>
          <w:lang w:eastAsia="zh-CN"/>
        </w:rPr>
        <w:t>复审</w:t>
      </w:r>
      <w:r>
        <w:rPr>
          <w:rFonts w:hint="eastAsia" w:ascii="宋体" w:hAnsi="宋体" w:eastAsia="宋体" w:cs="宋体"/>
          <w:sz w:val="24"/>
          <w:szCs w:val="24"/>
        </w:rPr>
        <w:t>，合格的进入评标磋商评审。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磋商小组对符合资格条件的磋商响应供应商提交的磋商响应文件进行审查。重点审查磋商响应文件的有效性、完整性和实质性响应程度等。</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磋商过程中的任何一方不得透露与评标有关的其他磋商响应供应商技术资料、报价和有关信息。竞争性磋商文件有实质性变动的，磋商小组应以书面形式通知所有磋商响应供应商。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磋商小组按竞争性磋商文件规定的评标方法和标准，对合格的磋商响应供应商的技术标响应文件进行评审评估，确定其是否进入“磋商”环节。</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磋商小组对进入“磋商”环节的磋商响应供应商提供的“技术标”文件综合比较与评价后，技术方案确定满足磋商文件技术要求的供应商列为最终评审报价供应商并进入最终评审。否则，磋商小组评委成员须结合其首次磋商响应报价，集体与磋商响应供应商进行磋商，并经磋商确定最终采购需求和进入最后报价的磋商响应供应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磋商小组评委成员独立对每个入围最终评审的磋商响应供应商提供的磋商响应文件，按竞争性磋商文件载明的方法进行评审打分，确定其技术标得分。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磋商小组根据入围最终评审的磋商响应供应商的报价，计算取得其价格标得分，并与其技术标得分相加为该磋商响应供应商的综合得分。磋商响应供应商的综合得分由高到低按序排列，综合得分最高的推荐为本次项目的成交人，并将结果通知所有磋商响应供应商。</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、开标</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开标时间：</w:t>
      </w:r>
      <w:r>
        <w:rPr>
          <w:rFonts w:ascii="宋体" w:hAnsi="宋体" w:eastAsia="宋体" w:cs="宋体"/>
          <w:b/>
          <w:bCs/>
          <w:sz w:val="24"/>
          <w:szCs w:val="24"/>
          <w:u w:val="thick" w:color="FF0000"/>
        </w:rPr>
        <w:t>202</w:t>
      </w:r>
      <w:r>
        <w:rPr>
          <w:rFonts w:hint="eastAsia" w:ascii="宋体" w:hAnsi="宋体" w:eastAsia="宋体" w:cs="宋体"/>
          <w:b/>
          <w:bCs/>
          <w:sz w:val="24"/>
          <w:szCs w:val="24"/>
          <w:u w:val="thick" w:color="FF0000"/>
        </w:rPr>
        <w:t>1年6月</w:t>
      </w:r>
      <w:r>
        <w:rPr>
          <w:rFonts w:hint="eastAsia" w:ascii="宋体" w:hAnsi="宋体" w:eastAsia="宋体" w:cs="宋体"/>
          <w:b/>
          <w:bCs/>
          <w:sz w:val="24"/>
          <w:szCs w:val="24"/>
          <w:u w:val="thick" w:color="FF0000"/>
          <w:lang w:val="en-US" w:eastAsia="zh-CN"/>
        </w:rPr>
        <w:t>23</w:t>
      </w:r>
      <w:r>
        <w:rPr>
          <w:rFonts w:hint="eastAsia" w:ascii="宋体" w:hAnsi="宋体" w:eastAsia="宋体" w:cs="宋体"/>
          <w:b/>
          <w:bCs/>
          <w:sz w:val="24"/>
          <w:szCs w:val="24"/>
          <w:u w:val="thick" w:color="FF0000"/>
        </w:rPr>
        <w:t>日上午9时30分</w:t>
      </w:r>
      <w:r>
        <w:rPr>
          <w:rFonts w:hint="eastAsia" w:ascii="宋体" w:hAnsi="宋体" w:eastAsia="宋体" w:cs="宋体"/>
          <w:sz w:val="24"/>
          <w:szCs w:val="24"/>
        </w:rPr>
        <w:t>。</w:t>
      </w:r>
    </w:p>
    <w:p>
      <w:pPr>
        <w:spacing w:line="600" w:lineRule="exact"/>
        <w:ind w:firstLine="480" w:firstLineChars="200"/>
        <w:rPr>
          <w:rFonts w:ascii="仿宋" w:hAnsi="仿宋" w:eastAsia="仿宋" w:cs="仿宋"/>
          <w:sz w:val="32"/>
          <w:szCs w:val="32"/>
        </w:rPr>
      </w:pPr>
      <w:r>
        <w:rPr>
          <w:rFonts w:ascii="宋体" w:hAnsi="宋体" w:eastAsia="宋体" w:cs="宋体"/>
          <w:sz w:val="24"/>
          <w:szCs w:val="24"/>
        </w:rPr>
        <w:t>2.</w:t>
      </w:r>
      <w:r>
        <w:rPr>
          <w:rFonts w:hint="eastAsia" w:ascii="宋体" w:hAnsi="宋体" w:eastAsia="宋体" w:cs="宋体"/>
          <w:sz w:val="24"/>
          <w:szCs w:val="24"/>
        </w:rPr>
        <w:t>开标地点：南通市工农北路150号南通人力资源大厦510会议室，如有变动另行通知。</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开标后磋商响应供应商不得撤回投标。</w:t>
      </w:r>
    </w:p>
    <w:p>
      <w:pPr>
        <w:adjustRightInd w:val="0"/>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开标后，采购人委托磋商小组对磋商响应供应商的资格进行</w:t>
      </w:r>
      <w:r>
        <w:rPr>
          <w:rFonts w:hint="eastAsia" w:ascii="宋体" w:hAnsi="宋体" w:eastAsia="宋体" w:cs="宋体"/>
          <w:sz w:val="24"/>
          <w:szCs w:val="24"/>
          <w:lang w:eastAsia="zh-CN"/>
        </w:rPr>
        <w:t>复审</w:t>
      </w:r>
      <w:r>
        <w:rPr>
          <w:rFonts w:hint="eastAsia" w:ascii="宋体" w:hAnsi="宋体" w:eastAsia="宋体" w:cs="宋体"/>
          <w:sz w:val="24"/>
          <w:szCs w:val="24"/>
        </w:rPr>
        <w:t>，审查通过方可参与项目的技术标、价格标磋商评审综合环节。</w:t>
      </w:r>
    </w:p>
    <w:p>
      <w:pPr>
        <w:adjustRightInd w:val="0"/>
        <w:snapToGrid w:val="0"/>
        <w:spacing w:line="420" w:lineRule="exact"/>
        <w:ind w:firstLine="487" w:firstLineChars="202"/>
        <w:outlineLvl w:val="1"/>
        <w:rPr>
          <w:rFonts w:ascii="宋体" w:hAnsi="宋体" w:eastAsia="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、评标</w:t>
      </w:r>
    </w:p>
    <w:p>
      <w:pPr>
        <w:snapToGrid w:val="0"/>
        <w:spacing w:line="420" w:lineRule="exact"/>
        <w:ind w:firstLine="482" w:firstLineChars="200"/>
        <w:outlineLvl w:val="2"/>
        <w:rPr>
          <w:rFonts w:ascii="宋体" w:hAnsi="宋体" w:eastAsia="宋体"/>
          <w:b/>
          <w:bCs/>
          <w:sz w:val="24"/>
          <w:szCs w:val="24"/>
        </w:rPr>
      </w:pPr>
      <w:r>
        <w:rPr>
          <w:rFonts w:hint="eastAsia" w:ascii="宋体" w:hAnsi="宋体" w:eastAsia="宋体" w:cs="宋体"/>
          <w:b/>
          <w:bCs/>
          <w:sz w:val="24"/>
          <w:szCs w:val="24"/>
        </w:rPr>
        <w:t>（一）评标事项</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w:t>
      </w:r>
      <w:r>
        <w:rPr>
          <w:rFonts w:hint="eastAsia" w:ascii="宋体" w:hAnsi="宋体" w:eastAsia="宋体" w:cs="宋体"/>
          <w:sz w:val="24"/>
          <w:szCs w:val="24"/>
        </w:rPr>
        <w:t>磋商小组负责具体的评标磋商事务，并独立履行以下职责：</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）审查合格磋商响应供应商的技术标文件是否实质性响应竞争性磋商文件要求，并做出评价；</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）可以要求磋商响应供应商对磋商响应文件中的有关事项做出解释或澄清；</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）按竞争性磋商文件载明的方法推荐成交候选人名单；</w:t>
      </w:r>
    </w:p>
    <w:p>
      <w:pPr>
        <w:snapToGrid w:val="0"/>
        <w:spacing w:line="420" w:lineRule="exact"/>
        <w:ind w:left="2"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）磋商小组发现竞争性磋商文件存在歧义、重大缺陷导致评标磋商工作无法进行，或者竞争性磋商文件内容违反国家有关强制性规定的，应当停止评标磋商工作，并作书面记录，并重新组织采购活动。</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w:t>
      </w:r>
      <w:r>
        <w:rPr>
          <w:rFonts w:hint="eastAsia" w:ascii="宋体" w:hAnsi="宋体" w:eastAsia="宋体" w:cs="宋体"/>
          <w:sz w:val="24"/>
          <w:szCs w:val="24"/>
        </w:rPr>
        <w:t>磋商小组成员应当履行下列义务：</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）遵纪守法，客观、公正、廉洁地履行职责；</w:t>
      </w:r>
    </w:p>
    <w:p>
      <w:pPr>
        <w:adjustRightInd w:val="0"/>
        <w:snapToGrid w:val="0"/>
        <w:spacing w:line="420" w:lineRule="exact"/>
        <w:ind w:firstLine="484" w:firstLineChars="202"/>
        <w:rPr>
          <w:rFonts w:hint="eastAsia" w:ascii="宋体" w:hAnsi="宋体" w:eastAsia="宋体"/>
          <w:sz w:val="24"/>
          <w:szCs w:val="24"/>
          <w:lang w:eastAsia="zh-CN"/>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）磋商小组成员应当按照客观、公正、审慎的原则，根据磋商文件规定的评审程序、评审方法和评审标准进行独立评审并对评审意见承担个人责任</w:t>
      </w:r>
      <w:r>
        <w:rPr>
          <w:rFonts w:hint="eastAsia" w:ascii="宋体" w:hAnsi="宋体" w:eastAsia="宋体" w:cs="宋体"/>
          <w:sz w:val="24"/>
          <w:szCs w:val="24"/>
          <w:lang w:eastAsia="zh-CN"/>
        </w:rPr>
        <w:t>；</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）磋商小组成员应当遵守评审工作纪律，不得泄露磋商评审情况和磋商评审中获悉的商业秘密；</w:t>
      </w:r>
    </w:p>
    <w:p>
      <w:pPr>
        <w:adjustRightInd w:val="0"/>
        <w:snapToGrid w:val="0"/>
        <w:spacing w:line="420" w:lineRule="exact"/>
        <w:ind w:firstLine="484" w:firstLineChars="202"/>
        <w:rPr>
          <w:rFonts w:hint="eastAsia" w:ascii="宋体" w:hAnsi="宋体" w:eastAsia="宋体"/>
          <w:sz w:val="24"/>
          <w:szCs w:val="24"/>
          <w:lang w:eastAsia="zh-CN"/>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）磋商评审程序中的有关记录由磋商小组成员签名，存档备查</w:t>
      </w:r>
      <w:r>
        <w:rPr>
          <w:rFonts w:hint="eastAsia" w:ascii="宋体" w:hAnsi="宋体" w:eastAsia="宋体" w:cs="宋体"/>
          <w:sz w:val="24"/>
          <w:szCs w:val="24"/>
          <w:lang w:eastAsia="zh-CN"/>
        </w:rPr>
        <w:t>；</w:t>
      </w:r>
    </w:p>
    <w:p>
      <w:pPr>
        <w:adjustRightInd w:val="0"/>
        <w:snapToGrid w:val="0"/>
        <w:spacing w:line="420" w:lineRule="exact"/>
        <w:ind w:firstLine="484" w:firstLineChars="202"/>
        <w:rPr>
          <w:rFonts w:hint="eastAsia" w:ascii="宋体" w:hAnsi="宋体" w:eastAsia="宋体"/>
          <w:sz w:val="24"/>
          <w:szCs w:val="24"/>
          <w:lang w:eastAsia="zh-CN"/>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）磋商小组成员在评审过程中发现供应商有行贿、提供虚假材料或者串通等违法行为的，应当及时向上级主管部门或相关监管部门报告</w:t>
      </w:r>
      <w:r>
        <w:rPr>
          <w:rFonts w:hint="eastAsia" w:ascii="宋体" w:hAnsi="宋体" w:eastAsia="宋体" w:cs="宋体"/>
          <w:sz w:val="24"/>
          <w:szCs w:val="24"/>
          <w:lang w:eastAsia="zh-CN"/>
        </w:rPr>
        <w:t>；</w:t>
      </w:r>
    </w:p>
    <w:p>
      <w:pPr>
        <w:adjustRightInd w:val="0"/>
        <w:snapToGrid w:val="0"/>
        <w:spacing w:line="420" w:lineRule="exact"/>
        <w:ind w:firstLine="484" w:firstLineChars="202"/>
        <w:rPr>
          <w:rFonts w:hint="eastAsia" w:ascii="宋体" w:hAnsi="宋体" w:eastAsia="宋体"/>
          <w:sz w:val="24"/>
          <w:szCs w:val="24"/>
          <w:lang w:eastAsia="zh-CN"/>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）磋商评委在磋商评审过程中受到非法干涉的，应当及时向财政、监察等部门举报</w:t>
      </w:r>
      <w:r>
        <w:rPr>
          <w:rFonts w:hint="eastAsia" w:ascii="宋体" w:hAnsi="宋体" w:eastAsia="宋体" w:cs="宋体"/>
          <w:sz w:val="24"/>
          <w:szCs w:val="24"/>
          <w:lang w:eastAsia="zh-CN"/>
        </w:rPr>
        <w:t>；</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）磋商小组成员有义务及责任配合采购人答复供应商提出的质疑，配合财政部门的投诉处理和监督检查工作。</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w:t>
      </w:r>
      <w:r>
        <w:rPr>
          <w:rFonts w:hint="eastAsia" w:ascii="宋体" w:hAnsi="宋体" w:eastAsia="宋体" w:cs="宋体"/>
          <w:sz w:val="24"/>
          <w:szCs w:val="24"/>
        </w:rPr>
        <w:t>有关人员对评标情况以及在评标过程中获悉的国家秘密、商业秘密负有保密责任。</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w:t>
      </w:r>
      <w:r>
        <w:rPr>
          <w:rFonts w:hint="eastAsia" w:ascii="宋体" w:hAnsi="宋体" w:eastAsia="宋体" w:cs="宋体"/>
          <w:sz w:val="24"/>
          <w:szCs w:val="24"/>
        </w:rPr>
        <w:t>竞争性磋商开标后，直到公告项目成交结果，发出成交通知书并授予成交人合同为止，凡属于评审、澄清、评价和比较磋商响应的所有资料及有关授予合同等的相关信息，都严禁向响应供应商或与磋商评审无关的其他人（单位）泄露。</w:t>
      </w:r>
    </w:p>
    <w:p>
      <w:pPr>
        <w:adjustRightInd w:val="0"/>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在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pPr>
        <w:snapToGrid w:val="0"/>
        <w:spacing w:line="420" w:lineRule="exact"/>
        <w:ind w:firstLine="482" w:firstLineChars="200"/>
        <w:outlineLvl w:val="2"/>
        <w:rPr>
          <w:rFonts w:ascii="宋体" w:hAnsi="宋体" w:eastAsia="宋体"/>
          <w:b/>
          <w:bCs/>
          <w:sz w:val="24"/>
          <w:szCs w:val="24"/>
        </w:rPr>
      </w:pPr>
      <w:r>
        <w:rPr>
          <w:rFonts w:hint="eastAsia" w:ascii="宋体" w:hAnsi="宋体" w:eastAsia="宋体" w:cs="宋体"/>
          <w:b/>
          <w:bCs/>
          <w:sz w:val="24"/>
          <w:szCs w:val="24"/>
        </w:rPr>
        <w:t>（二）竞争性磋商方法</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磋商小组将按照竞争性磋商文件的规定，只对资格审查合格的供应商的磋商响应文件进行评审和比较。</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磋商小组根据磋商文件规定的程序、评定成交的标准等事项，判定实质性响应磋商文件要求的供应商列为最终评审报价供应商，否则须进行磋商后确定最终采购需求和最终评审报价的供应商。未实质性响应磋商文件要求的磋商响应文件按无效处理，磋商小组应当告知提交磋商响应文件的供应商。</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）如需进行磋商后确定最终采购需求和最终评审报价供应商的，则经首次磋商响应报价后进入磋商环节，磋商小组所有成员应当集中与单一供应商分别进行磋商，并给予所有参加磋商的供应商平等的磋商机会。</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）对磋商文件做出的实质性变动是磋商文件的有效组成部分，磋商小组应当及时以书面形式同时通知所有参加磋商的供应商。</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供应商应当按照磋商文件的变动情况和磋商小组的要求重新提交响应文件，并由其法定代表人或被委托受权人签字（或盖章）或者加盖公章。由被委托受权人签字的，应当附法定代表人授权书。供应商为自然人的，应当由本人签字并附身份证明。</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）磋商结束后，磋商小组应当对所有实质性响应并入围最终评审报价供应商的磋商响应技术文件进行评审打分。</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）已提交响应文件的供应商，在进入磋商最后报价之前，可以根据磋商情况退出磋商。</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磋商文件不能详细列明采购标的的技术、服务要求，需经磋商由供应商提供最终设计方案或解决方案的，磋商结束后，磋商小组应当按照少数服从多数的原则投票推荐</w:t>
      </w:r>
      <w:r>
        <w:rPr>
          <w:rFonts w:ascii="宋体" w:hAnsi="宋体" w:eastAsia="宋体" w:cs="宋体"/>
          <w:sz w:val="24"/>
          <w:szCs w:val="24"/>
        </w:rPr>
        <w:t>3</w:t>
      </w:r>
      <w:r>
        <w:rPr>
          <w:rFonts w:hint="eastAsia" w:ascii="宋体" w:hAnsi="宋体" w:eastAsia="宋体" w:cs="宋体"/>
          <w:sz w:val="24"/>
          <w:szCs w:val="24"/>
        </w:rPr>
        <w:t>家以上供应商的设计方案或者解决方案，并对其进行最终评审。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在磋商中，磋商的任何一方不得透露与磋商有关的其他响应磋商的供应商的技术资料、价格及其他信息。</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对磋商技术响应文件进行比较评审，是否可列为最终评审报价供应商。</w:t>
      </w:r>
    </w:p>
    <w:tbl>
      <w:tblPr>
        <w:tblStyle w:val="47"/>
        <w:tblpPr w:leftFromText="180" w:rightFromText="180" w:vertAnchor="text" w:horzAnchor="page" w:tblpX="1348" w:tblpY="298"/>
        <w:tblOverlap w:val="never"/>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770" w:type="dxa"/>
            <w:vAlign w:val="center"/>
          </w:tcPr>
          <w:p>
            <w:pPr>
              <w:spacing w:line="420" w:lineRule="exact"/>
              <w:jc w:val="center"/>
              <w:rPr>
                <w:rFonts w:ascii="宋体" w:hAnsi="宋体" w:eastAsia="宋体"/>
                <w:kern w:val="0"/>
                <w:sz w:val="24"/>
                <w:szCs w:val="24"/>
              </w:rPr>
            </w:pPr>
            <w:r>
              <w:rPr>
                <w:rFonts w:hint="eastAsia" w:ascii="宋体" w:hAnsi="宋体" w:eastAsia="宋体" w:cs="宋体"/>
                <w:kern w:val="0"/>
                <w:sz w:val="24"/>
                <w:szCs w:val="24"/>
              </w:rPr>
              <w:t>序号</w:t>
            </w:r>
          </w:p>
        </w:tc>
        <w:tc>
          <w:tcPr>
            <w:tcW w:w="9338" w:type="dxa"/>
            <w:vAlign w:val="center"/>
          </w:tcPr>
          <w:p>
            <w:pPr>
              <w:spacing w:line="420" w:lineRule="exact"/>
              <w:jc w:val="center"/>
              <w:rPr>
                <w:rFonts w:ascii="宋体" w:hAnsi="宋体" w:eastAsia="宋体"/>
                <w:kern w:val="0"/>
                <w:sz w:val="24"/>
                <w:szCs w:val="24"/>
              </w:rPr>
            </w:pPr>
            <w:r>
              <w:rPr>
                <w:rFonts w:hint="eastAsia" w:ascii="宋体" w:hAnsi="宋体" w:eastAsia="宋体" w:cs="宋体"/>
                <w:kern w:val="0"/>
                <w:sz w:val="24"/>
                <w:szCs w:val="24"/>
              </w:rPr>
              <w:t>评审比较内容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70" w:type="dxa"/>
            <w:vAlign w:val="center"/>
          </w:tcPr>
          <w:p>
            <w:pPr>
              <w:spacing w:line="420" w:lineRule="exact"/>
              <w:jc w:val="center"/>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w:t>
            </w:r>
          </w:p>
        </w:tc>
        <w:tc>
          <w:tcPr>
            <w:tcW w:w="9338" w:type="dxa"/>
            <w:vAlign w:val="center"/>
          </w:tcPr>
          <w:p>
            <w:pPr>
              <w:spacing w:line="420" w:lineRule="exact"/>
              <w:rPr>
                <w:rFonts w:ascii="宋体" w:hAnsi="宋体" w:eastAsia="宋体"/>
                <w:sz w:val="24"/>
                <w:szCs w:val="24"/>
              </w:rPr>
            </w:pPr>
            <w:r>
              <w:rPr>
                <w:rFonts w:hint="eastAsia" w:ascii="宋体" w:hAnsi="宋体" w:eastAsia="宋体" w:cs="宋体"/>
                <w:sz w:val="24"/>
                <w:szCs w:val="24"/>
              </w:rPr>
              <w:t>供应商提供的技术响应是否满足磋商文件要求，包含设计施工要求及内容、付款方式等；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70" w:type="dxa"/>
            <w:vAlign w:val="center"/>
          </w:tcPr>
          <w:p>
            <w:pPr>
              <w:tabs>
                <w:tab w:val="left" w:pos="0"/>
              </w:tabs>
              <w:spacing w:line="420" w:lineRule="exact"/>
              <w:jc w:val="center"/>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w:t>
            </w:r>
          </w:p>
        </w:tc>
        <w:tc>
          <w:tcPr>
            <w:tcW w:w="9338" w:type="dxa"/>
            <w:vAlign w:val="center"/>
          </w:tcPr>
          <w:p>
            <w:pPr>
              <w:spacing w:line="420" w:lineRule="exact"/>
              <w:rPr>
                <w:rFonts w:ascii="宋体" w:hAnsi="宋体" w:eastAsia="宋体"/>
                <w:sz w:val="24"/>
                <w:szCs w:val="24"/>
              </w:rPr>
            </w:pPr>
            <w:r>
              <w:rPr>
                <w:rFonts w:hint="eastAsia" w:ascii="宋体" w:hAnsi="宋体" w:eastAsia="宋体" w:cs="宋体"/>
                <w:kern w:val="0"/>
                <w:sz w:val="24"/>
                <w:szCs w:val="24"/>
              </w:rPr>
              <w:t>提供的项目实施方案与磋商文件要求的符合度，可否进入磋商环节；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70" w:type="dxa"/>
            <w:vAlign w:val="center"/>
          </w:tcPr>
          <w:p>
            <w:pPr>
              <w:tabs>
                <w:tab w:val="left" w:pos="0"/>
              </w:tabs>
              <w:spacing w:line="420" w:lineRule="exact"/>
              <w:jc w:val="center"/>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w:t>
            </w:r>
          </w:p>
        </w:tc>
        <w:tc>
          <w:tcPr>
            <w:tcW w:w="9338" w:type="dxa"/>
            <w:vAlign w:val="center"/>
          </w:tcPr>
          <w:p>
            <w:pPr>
              <w:spacing w:line="420" w:lineRule="exact"/>
              <w:rPr>
                <w:rFonts w:ascii="宋体" w:hAnsi="宋体" w:eastAsia="宋体"/>
                <w:sz w:val="24"/>
                <w:szCs w:val="24"/>
              </w:rPr>
            </w:pPr>
            <w:r>
              <w:rPr>
                <w:rFonts w:hint="eastAsia" w:ascii="宋体" w:hAnsi="宋体" w:eastAsia="宋体" w:cs="宋体"/>
                <w:sz w:val="24"/>
                <w:szCs w:val="24"/>
              </w:rPr>
              <w:t>结合供应商提供的技术响应文件，判断是否需要进行磋商确定最终采购需求；</w:t>
            </w:r>
          </w:p>
        </w:tc>
      </w:tr>
    </w:tbl>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rPr>
        <w:t>磋商响应报价的价格评审：</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磋商小组认为入围最终评审报价供应商的报价（现场二次最终）明显低于其他入围最终评审报价供应商的报价（现场二次最终），有可能影响产品或服务的质量或者不能诚信履约的，应当要求其“在评标现场”合理的时间内提供“书面”说明，必要时提交“相关证明”材料；供应商不能证明其“报价合理性”的，磋商小组应当将其作为无效磋商处理。</w:t>
      </w:r>
    </w:p>
    <w:p>
      <w:pPr>
        <w:snapToGrid w:val="0"/>
        <w:spacing w:line="420" w:lineRule="exact"/>
        <w:ind w:firstLine="482" w:firstLineChars="200"/>
        <w:outlineLvl w:val="2"/>
        <w:rPr>
          <w:rFonts w:ascii="宋体" w:hAnsi="宋体" w:eastAsia="宋体"/>
          <w:b/>
          <w:bCs/>
          <w:sz w:val="24"/>
          <w:szCs w:val="24"/>
        </w:rPr>
      </w:pPr>
      <w:r>
        <w:rPr>
          <w:rFonts w:hint="eastAsia" w:ascii="宋体" w:hAnsi="宋体" w:eastAsia="宋体" w:cs="宋体"/>
          <w:b/>
          <w:bCs/>
          <w:sz w:val="24"/>
          <w:szCs w:val="24"/>
        </w:rPr>
        <w:t>（三）评标磋商的结果</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经评审确定</w:t>
      </w:r>
      <w:r>
        <w:rPr>
          <w:rFonts w:hint="eastAsia" w:ascii="宋体" w:hAnsi="宋体" w:eastAsia="宋体" w:cs="宋体"/>
          <w:sz w:val="24"/>
          <w:szCs w:val="24"/>
          <w:u w:val="single"/>
        </w:rPr>
        <w:t>最终评审报价供应商</w:t>
      </w:r>
      <w:r>
        <w:rPr>
          <w:rFonts w:hint="eastAsia" w:ascii="宋体" w:hAnsi="宋体" w:eastAsia="宋体" w:cs="宋体"/>
          <w:sz w:val="24"/>
          <w:szCs w:val="24"/>
        </w:rPr>
        <w:t>或经磋商</w:t>
      </w:r>
      <w:r>
        <w:rPr>
          <w:rFonts w:hint="eastAsia" w:ascii="宋体" w:hAnsi="宋体" w:eastAsia="宋体" w:cs="宋体"/>
          <w:sz w:val="24"/>
          <w:szCs w:val="24"/>
          <w:u w:val="single"/>
        </w:rPr>
        <w:t>确定最终采购需求列入最终评审报价供应商</w:t>
      </w:r>
      <w:r>
        <w:rPr>
          <w:rFonts w:hint="eastAsia" w:ascii="宋体" w:hAnsi="宋体" w:eastAsia="宋体" w:cs="宋体"/>
          <w:sz w:val="24"/>
          <w:szCs w:val="24"/>
        </w:rPr>
        <w:t>后，由磋商小组采用</w:t>
      </w:r>
      <w:r>
        <w:rPr>
          <w:rFonts w:hint="eastAsia" w:ascii="宋体" w:hAnsi="宋体" w:eastAsia="宋体" w:cs="宋体"/>
          <w:sz w:val="24"/>
          <w:szCs w:val="24"/>
          <w:u w:val="single"/>
        </w:rPr>
        <w:t>综合评分法</w:t>
      </w:r>
      <w:r>
        <w:rPr>
          <w:rFonts w:hint="eastAsia" w:ascii="宋体" w:hAnsi="宋体" w:eastAsia="宋体" w:cs="宋体"/>
          <w:sz w:val="24"/>
          <w:szCs w:val="24"/>
        </w:rPr>
        <w:t>对响应文件满足磋商文件全部实质性要求的列入</w:t>
      </w:r>
      <w:r>
        <w:rPr>
          <w:rFonts w:hint="eastAsia" w:ascii="宋体" w:hAnsi="宋体" w:eastAsia="宋体" w:cs="宋体"/>
          <w:sz w:val="24"/>
          <w:szCs w:val="24"/>
          <w:u w:val="single"/>
        </w:rPr>
        <w:t>最终评审报价供应商</w:t>
      </w:r>
      <w:r>
        <w:rPr>
          <w:rFonts w:hint="eastAsia" w:ascii="宋体" w:hAnsi="宋体" w:eastAsia="宋体" w:cs="宋体"/>
          <w:sz w:val="24"/>
          <w:szCs w:val="24"/>
        </w:rPr>
        <w:t>的响应文件，按评审因素的量化指标进行评审：</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进入综合评分评审阶段后，磋商小组成员会将仅对按本磋商文件载明的方法与规定，对满足磋商文件全部实质性要求的磋商响应文件进行评审、评价和比较。</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磋商小组各成员应当独立对每个有效的磋商响应文件进行评价、打分，然后汇总每个供应商每项评分因素的得分（计算结果均四舍五入保留两位小数）。</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本次磋商项目进入到综合评分阶段中的技术和商务报价磋商评审总分值为</w:t>
      </w:r>
      <w:r>
        <w:rPr>
          <w:rFonts w:ascii="宋体" w:hAnsi="宋体" w:eastAsia="宋体" w:cs="宋体"/>
          <w:sz w:val="24"/>
          <w:szCs w:val="24"/>
        </w:rPr>
        <w:t>100</w:t>
      </w:r>
      <w:r>
        <w:rPr>
          <w:rFonts w:hint="eastAsia" w:ascii="宋体" w:hAnsi="宋体" w:eastAsia="宋体" w:cs="宋体"/>
          <w:sz w:val="24"/>
          <w:szCs w:val="24"/>
        </w:rPr>
        <w:t>分。两部分评审因素比重如下：</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）技术标分值占总分值的比重为</w:t>
      </w:r>
      <w:r>
        <w:rPr>
          <w:rFonts w:hint="eastAsia" w:ascii="宋体" w:hAnsi="宋体" w:eastAsia="宋体" w:cs="宋体"/>
          <w:sz w:val="24"/>
          <w:szCs w:val="24"/>
          <w:u w:val="single"/>
        </w:rPr>
        <w:t>7</w:t>
      </w:r>
      <w:r>
        <w:rPr>
          <w:rFonts w:ascii="宋体" w:hAnsi="宋体" w:eastAsia="宋体" w:cs="宋体"/>
          <w:sz w:val="24"/>
          <w:szCs w:val="24"/>
          <w:u w:val="single"/>
        </w:rPr>
        <w:t>0%</w:t>
      </w:r>
      <w:r>
        <w:rPr>
          <w:rFonts w:hint="eastAsia" w:ascii="宋体" w:hAnsi="宋体" w:eastAsia="宋体" w:cs="宋体"/>
          <w:sz w:val="24"/>
          <w:szCs w:val="24"/>
          <w:u w:val="single"/>
        </w:rPr>
        <w:t>（权重）</w:t>
      </w:r>
      <w:r>
        <w:rPr>
          <w:rFonts w:hint="eastAsia" w:ascii="宋体" w:hAnsi="宋体" w:eastAsia="宋体" w:cs="宋体"/>
          <w:sz w:val="24"/>
          <w:szCs w:val="24"/>
        </w:rPr>
        <w:t>（四舍五入保留两位小数）；</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）磋商响应最后商务报价分值占总分值的比重为</w:t>
      </w:r>
      <w:r>
        <w:rPr>
          <w:rFonts w:hint="eastAsia" w:ascii="宋体" w:hAnsi="宋体" w:eastAsia="宋体" w:cs="宋体"/>
          <w:sz w:val="24"/>
          <w:szCs w:val="24"/>
          <w:u w:val="single"/>
        </w:rPr>
        <w:t>3</w:t>
      </w:r>
      <w:r>
        <w:rPr>
          <w:rFonts w:ascii="宋体" w:hAnsi="宋体" w:eastAsia="宋体" w:cs="宋体"/>
          <w:sz w:val="24"/>
          <w:szCs w:val="24"/>
          <w:u w:val="single"/>
        </w:rPr>
        <w:t>0%</w:t>
      </w:r>
      <w:r>
        <w:rPr>
          <w:rFonts w:hint="eastAsia" w:ascii="宋体" w:hAnsi="宋体" w:eastAsia="宋体" w:cs="宋体"/>
          <w:sz w:val="24"/>
          <w:szCs w:val="24"/>
          <w:u w:val="single"/>
        </w:rPr>
        <w:t>（权重）</w:t>
      </w:r>
      <w:r>
        <w:rPr>
          <w:rFonts w:hint="eastAsia" w:ascii="宋体" w:hAnsi="宋体" w:eastAsia="宋体" w:cs="宋体"/>
          <w:sz w:val="24"/>
          <w:szCs w:val="24"/>
        </w:rPr>
        <w:t>（四舍五入保留两位小数）。</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当磋商小组成员为</w:t>
      </w:r>
      <w:r>
        <w:rPr>
          <w:rFonts w:ascii="宋体" w:hAnsi="宋体" w:eastAsia="宋体" w:cs="宋体"/>
          <w:sz w:val="24"/>
          <w:szCs w:val="24"/>
        </w:rPr>
        <w:t>5</w:t>
      </w:r>
      <w:r>
        <w:rPr>
          <w:rFonts w:hint="eastAsia" w:ascii="宋体" w:hAnsi="宋体" w:eastAsia="宋体" w:cs="宋体"/>
          <w:sz w:val="24"/>
          <w:szCs w:val="24"/>
        </w:rPr>
        <w:t>人（不含</w:t>
      </w:r>
      <w:r>
        <w:rPr>
          <w:rFonts w:ascii="宋体" w:hAnsi="宋体" w:eastAsia="宋体" w:cs="宋体"/>
          <w:sz w:val="24"/>
          <w:szCs w:val="24"/>
        </w:rPr>
        <w:t>5</w:t>
      </w:r>
      <w:r>
        <w:rPr>
          <w:rFonts w:hint="eastAsia" w:ascii="宋体" w:hAnsi="宋体" w:eastAsia="宋体" w:cs="宋体"/>
          <w:sz w:val="24"/>
          <w:szCs w:val="24"/>
        </w:rPr>
        <w:t>人）以上的，技术分去掉一个最高分和一个最低分后均算而成，当磋商小组成员少于</w:t>
      </w:r>
      <w:r>
        <w:rPr>
          <w:rFonts w:ascii="宋体" w:hAnsi="宋体" w:eastAsia="宋体" w:cs="宋体"/>
          <w:sz w:val="24"/>
          <w:szCs w:val="24"/>
        </w:rPr>
        <w:t>5</w:t>
      </w:r>
      <w:r>
        <w:rPr>
          <w:rFonts w:hint="eastAsia" w:ascii="宋体" w:hAnsi="宋体" w:eastAsia="宋体" w:cs="宋体"/>
          <w:sz w:val="24"/>
          <w:szCs w:val="24"/>
        </w:rPr>
        <w:t>人（含</w:t>
      </w:r>
      <w:r>
        <w:rPr>
          <w:rFonts w:ascii="宋体" w:hAnsi="宋体" w:eastAsia="宋体" w:cs="宋体"/>
          <w:sz w:val="24"/>
          <w:szCs w:val="24"/>
        </w:rPr>
        <w:t>5</w:t>
      </w:r>
      <w:r>
        <w:rPr>
          <w:rFonts w:hint="eastAsia" w:ascii="宋体" w:hAnsi="宋体" w:eastAsia="宋体" w:cs="宋体"/>
          <w:sz w:val="24"/>
          <w:szCs w:val="24"/>
        </w:rPr>
        <w:t>人）时，技术分按算术平均值计算，四舍五入保留两位小数。</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最后报价分统一采用低价优先法计算直接取得，与技术得分相加为磋商响应供应商的综合得分（四舍五入保留两位小数）。</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、综合得分最高的推荐为本项目的成交供应商。</w:t>
      </w:r>
    </w:p>
    <w:p>
      <w:pPr>
        <w:snapToGrid w:val="0"/>
        <w:spacing w:line="420" w:lineRule="exact"/>
        <w:ind w:firstLine="482" w:firstLineChars="200"/>
        <w:outlineLvl w:val="2"/>
        <w:rPr>
          <w:rFonts w:ascii="宋体" w:hAnsi="宋体" w:eastAsia="宋体"/>
          <w:b/>
          <w:bCs/>
          <w:sz w:val="24"/>
          <w:szCs w:val="24"/>
        </w:rPr>
      </w:pPr>
      <w:r>
        <w:rPr>
          <w:rFonts w:hint="eastAsia" w:ascii="宋体" w:hAnsi="宋体" w:eastAsia="宋体" w:cs="宋体"/>
          <w:b/>
          <w:bCs/>
          <w:sz w:val="24"/>
          <w:szCs w:val="24"/>
        </w:rPr>
        <w:t>五、综合评分评审因素</w:t>
      </w:r>
    </w:p>
    <w:p>
      <w:pPr>
        <w:widowControl/>
        <w:spacing w:line="360" w:lineRule="exact"/>
        <w:ind w:firstLine="480" w:firstLineChars="200"/>
        <w:jc w:val="left"/>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商务技术分：7</w:t>
      </w:r>
      <w:r>
        <w:rPr>
          <w:rFonts w:ascii="宋体" w:hAnsi="宋体" w:eastAsia="宋体" w:cs="宋体"/>
          <w:sz w:val="24"/>
          <w:szCs w:val="24"/>
        </w:rPr>
        <w:t>0</w:t>
      </w:r>
      <w:r>
        <w:rPr>
          <w:rFonts w:hint="eastAsia" w:ascii="宋体" w:hAnsi="宋体" w:eastAsia="宋体" w:cs="宋体"/>
          <w:sz w:val="24"/>
          <w:szCs w:val="24"/>
        </w:rPr>
        <w:t>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911"/>
        <w:gridCol w:w="993"/>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83" w:type="dxa"/>
            <w:vAlign w:val="center"/>
          </w:tcPr>
          <w:p>
            <w:pPr>
              <w:pStyle w:val="24"/>
              <w:snapToGrid w:val="0"/>
              <w:jc w:val="center"/>
              <w:rPr>
                <w:rFonts w:hAnsi="宋体" w:eastAsia="宋体" w:cs="Times New Roman"/>
                <w:sz w:val="24"/>
                <w:szCs w:val="24"/>
              </w:rPr>
            </w:pPr>
            <w:r>
              <w:rPr>
                <w:rFonts w:hint="eastAsia" w:hAnsi="宋体" w:eastAsia="宋体"/>
                <w:b/>
                <w:bCs/>
                <w:kern w:val="0"/>
                <w:sz w:val="24"/>
                <w:szCs w:val="24"/>
              </w:rPr>
              <w:t>序号</w:t>
            </w:r>
          </w:p>
        </w:tc>
        <w:tc>
          <w:tcPr>
            <w:tcW w:w="1911" w:type="dxa"/>
            <w:vAlign w:val="center"/>
          </w:tcPr>
          <w:p>
            <w:pPr>
              <w:pStyle w:val="24"/>
              <w:snapToGrid w:val="0"/>
              <w:jc w:val="center"/>
              <w:rPr>
                <w:rFonts w:hAnsi="宋体" w:eastAsia="宋体" w:cs="Times New Roman"/>
                <w:sz w:val="24"/>
                <w:szCs w:val="24"/>
              </w:rPr>
            </w:pPr>
            <w:r>
              <w:rPr>
                <w:rFonts w:hint="eastAsia" w:hAnsi="宋体" w:eastAsia="宋体"/>
                <w:b/>
                <w:bCs/>
                <w:kern w:val="0"/>
                <w:sz w:val="24"/>
                <w:szCs w:val="24"/>
              </w:rPr>
              <w:t>评审因素</w:t>
            </w:r>
          </w:p>
        </w:tc>
        <w:tc>
          <w:tcPr>
            <w:tcW w:w="993" w:type="dxa"/>
            <w:vAlign w:val="center"/>
          </w:tcPr>
          <w:p>
            <w:pPr>
              <w:pStyle w:val="24"/>
              <w:snapToGrid w:val="0"/>
              <w:jc w:val="center"/>
              <w:rPr>
                <w:rFonts w:hAnsi="宋体" w:eastAsia="宋体" w:cs="Times New Roman"/>
                <w:sz w:val="24"/>
                <w:szCs w:val="24"/>
              </w:rPr>
            </w:pPr>
            <w:r>
              <w:rPr>
                <w:rFonts w:hint="eastAsia" w:hAnsi="宋体" w:eastAsia="宋体"/>
                <w:b/>
                <w:bCs/>
                <w:kern w:val="0"/>
                <w:sz w:val="24"/>
                <w:szCs w:val="24"/>
              </w:rPr>
              <w:t>分值</w:t>
            </w:r>
          </w:p>
        </w:tc>
        <w:tc>
          <w:tcPr>
            <w:tcW w:w="6097" w:type="dxa"/>
            <w:vAlign w:val="center"/>
          </w:tcPr>
          <w:p>
            <w:pPr>
              <w:pStyle w:val="24"/>
              <w:snapToGrid w:val="0"/>
              <w:jc w:val="center"/>
              <w:rPr>
                <w:rFonts w:hAnsi="宋体" w:eastAsia="宋体" w:cs="Times New Roman"/>
                <w:sz w:val="24"/>
                <w:szCs w:val="24"/>
              </w:rPr>
            </w:pPr>
            <w:r>
              <w:rPr>
                <w:rFonts w:hint="eastAsia" w:hAnsi="宋体" w:eastAsia="宋体"/>
                <w:b/>
                <w:bCs/>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83" w:type="dxa"/>
            <w:vAlign w:val="center"/>
          </w:tcPr>
          <w:p>
            <w:pPr>
              <w:pStyle w:val="24"/>
              <w:snapToGrid w:val="0"/>
              <w:jc w:val="center"/>
              <w:rPr>
                <w:rFonts w:hAnsi="宋体" w:eastAsia="宋体"/>
                <w:b/>
                <w:bCs/>
                <w:kern w:val="0"/>
                <w:sz w:val="24"/>
                <w:szCs w:val="24"/>
              </w:rPr>
            </w:pPr>
            <w:r>
              <w:rPr>
                <w:rFonts w:hAnsi="宋体" w:eastAsia="宋体"/>
                <w:b/>
                <w:bCs/>
                <w:kern w:val="0"/>
                <w:sz w:val="24"/>
                <w:szCs w:val="24"/>
              </w:rPr>
              <w:t>1</w:t>
            </w:r>
          </w:p>
        </w:tc>
        <w:tc>
          <w:tcPr>
            <w:tcW w:w="1911" w:type="dxa"/>
            <w:vAlign w:val="center"/>
          </w:tcPr>
          <w:p>
            <w:pPr>
              <w:pStyle w:val="24"/>
              <w:snapToGrid w:val="0"/>
              <w:jc w:val="center"/>
              <w:rPr>
                <w:rFonts w:hAnsi="宋体" w:eastAsia="宋体" w:cs="Times New Roman"/>
                <w:b/>
                <w:bCs/>
                <w:kern w:val="0"/>
                <w:sz w:val="24"/>
                <w:szCs w:val="24"/>
              </w:rPr>
            </w:pPr>
            <w:r>
              <w:rPr>
                <w:rFonts w:hint="eastAsia" w:hAnsi="宋体" w:eastAsia="宋体"/>
                <w:b/>
                <w:bCs/>
                <w:kern w:val="0"/>
                <w:sz w:val="24"/>
                <w:szCs w:val="24"/>
              </w:rPr>
              <w:t>深化设计方案</w:t>
            </w:r>
          </w:p>
        </w:tc>
        <w:tc>
          <w:tcPr>
            <w:tcW w:w="993" w:type="dxa"/>
            <w:vAlign w:val="center"/>
          </w:tcPr>
          <w:p>
            <w:pPr>
              <w:pStyle w:val="24"/>
              <w:snapToGrid w:val="0"/>
              <w:jc w:val="center"/>
              <w:rPr>
                <w:rFonts w:hAnsi="宋体" w:eastAsia="宋体" w:cs="Times New Roman"/>
                <w:b/>
                <w:bCs/>
                <w:sz w:val="24"/>
                <w:szCs w:val="24"/>
              </w:rPr>
            </w:pPr>
            <w:r>
              <w:rPr>
                <w:rFonts w:hAnsi="宋体" w:eastAsia="宋体"/>
                <w:b/>
                <w:bCs/>
                <w:sz w:val="24"/>
                <w:szCs w:val="24"/>
              </w:rPr>
              <w:t>3</w:t>
            </w:r>
            <w:r>
              <w:rPr>
                <w:rFonts w:hint="eastAsia" w:hAnsi="宋体" w:eastAsia="宋体"/>
                <w:b/>
                <w:bCs/>
                <w:sz w:val="24"/>
                <w:szCs w:val="24"/>
              </w:rPr>
              <w:t>5分</w:t>
            </w:r>
          </w:p>
        </w:tc>
        <w:tc>
          <w:tcPr>
            <w:tcW w:w="6097" w:type="dxa"/>
            <w:vAlign w:val="center"/>
          </w:tcPr>
          <w:p>
            <w:pPr>
              <w:rPr>
                <w:rFonts w:ascii="宋体" w:hAnsi="宋体" w:eastAsia="宋体"/>
                <w:sz w:val="24"/>
                <w:szCs w:val="24"/>
              </w:rPr>
            </w:pPr>
            <w:r>
              <w:rPr>
                <w:rFonts w:hint="eastAsia" w:ascii="宋体" w:hAnsi="宋体" w:eastAsia="宋体" w:cs="宋体"/>
                <w:sz w:val="24"/>
                <w:szCs w:val="24"/>
              </w:rPr>
              <w:t>投标人按照采购方需求，对项目需求清单</w:t>
            </w:r>
            <w:r>
              <w:rPr>
                <w:rFonts w:ascii="宋体" w:hAnsi="宋体" w:eastAsia="宋体" w:cs="宋体"/>
                <w:sz w:val="24"/>
                <w:szCs w:val="24"/>
              </w:rPr>
              <w:t>1-</w:t>
            </w:r>
            <w:r>
              <w:rPr>
                <w:rFonts w:hint="eastAsia" w:ascii="宋体" w:hAnsi="宋体" w:eastAsia="宋体" w:cs="宋体"/>
                <w:sz w:val="24"/>
                <w:szCs w:val="24"/>
              </w:rPr>
              <w:t>53小项进行深化设计，均需提供实景效果图，并在评标现场进行</w:t>
            </w:r>
            <w:r>
              <w:rPr>
                <w:rFonts w:ascii="宋体" w:hAnsi="宋体" w:eastAsia="宋体" w:cs="宋体"/>
                <w:sz w:val="24"/>
                <w:szCs w:val="24"/>
              </w:rPr>
              <w:t>5</w:t>
            </w:r>
            <w:r>
              <w:rPr>
                <w:rFonts w:hint="eastAsia" w:ascii="宋体" w:hAnsi="宋体" w:eastAsia="宋体" w:cs="宋体"/>
                <w:sz w:val="24"/>
                <w:szCs w:val="24"/>
              </w:rPr>
              <w:t>分钟以内的</w:t>
            </w:r>
            <w:r>
              <w:rPr>
                <w:rFonts w:ascii="宋体" w:hAnsi="宋体" w:eastAsia="宋体" w:cs="宋体"/>
                <w:sz w:val="24"/>
                <w:szCs w:val="24"/>
              </w:rPr>
              <w:t>PPT</w:t>
            </w:r>
            <w:r>
              <w:rPr>
                <w:rFonts w:hint="eastAsia" w:ascii="宋体" w:hAnsi="宋体" w:eastAsia="宋体" w:cs="宋体"/>
                <w:sz w:val="24"/>
                <w:szCs w:val="24"/>
              </w:rPr>
              <w:t>演示、说明。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83" w:type="dxa"/>
            <w:vAlign w:val="center"/>
          </w:tcPr>
          <w:p>
            <w:pPr>
              <w:pStyle w:val="24"/>
              <w:snapToGrid w:val="0"/>
              <w:jc w:val="center"/>
              <w:rPr>
                <w:rFonts w:hAnsi="宋体" w:eastAsia="宋体" w:cs="Times New Roman"/>
                <w:sz w:val="24"/>
                <w:szCs w:val="24"/>
              </w:rPr>
            </w:pPr>
            <w:r>
              <w:rPr>
                <w:rFonts w:hAnsi="宋体" w:eastAsia="宋体"/>
                <w:kern w:val="0"/>
                <w:sz w:val="24"/>
                <w:szCs w:val="24"/>
              </w:rPr>
              <w:t>1.1</w:t>
            </w:r>
          </w:p>
        </w:tc>
        <w:tc>
          <w:tcPr>
            <w:tcW w:w="1911" w:type="dxa"/>
            <w:vAlign w:val="center"/>
          </w:tcPr>
          <w:p>
            <w:pPr>
              <w:pStyle w:val="24"/>
              <w:snapToGrid w:val="0"/>
              <w:jc w:val="center"/>
              <w:rPr>
                <w:rFonts w:hAnsi="宋体" w:eastAsia="宋体" w:cs="Times New Roman"/>
                <w:sz w:val="24"/>
                <w:szCs w:val="24"/>
              </w:rPr>
            </w:pPr>
            <w:r>
              <w:rPr>
                <w:rFonts w:hint="eastAsia" w:hAnsi="宋体" w:eastAsia="宋体"/>
                <w:kern w:val="0"/>
                <w:sz w:val="24"/>
                <w:szCs w:val="24"/>
              </w:rPr>
              <w:t>整体设计效果</w:t>
            </w:r>
          </w:p>
        </w:tc>
        <w:tc>
          <w:tcPr>
            <w:tcW w:w="993" w:type="dxa"/>
            <w:vAlign w:val="center"/>
          </w:tcPr>
          <w:p>
            <w:pPr>
              <w:pStyle w:val="24"/>
              <w:snapToGrid w:val="0"/>
              <w:jc w:val="center"/>
              <w:rPr>
                <w:rFonts w:hAnsi="宋体" w:eastAsia="宋体" w:cs="Times New Roman"/>
                <w:sz w:val="24"/>
                <w:szCs w:val="24"/>
              </w:rPr>
            </w:pPr>
            <w:r>
              <w:rPr>
                <w:rFonts w:hint="eastAsia" w:hAnsi="宋体" w:eastAsia="宋体"/>
                <w:sz w:val="24"/>
                <w:szCs w:val="24"/>
              </w:rPr>
              <w:t>30分</w:t>
            </w:r>
          </w:p>
        </w:tc>
        <w:tc>
          <w:tcPr>
            <w:tcW w:w="6097" w:type="dxa"/>
            <w:vAlign w:val="center"/>
          </w:tcPr>
          <w:p>
            <w:pPr>
              <w:rPr>
                <w:rFonts w:ascii="宋体" w:hAnsi="宋体" w:eastAsia="宋体"/>
                <w:sz w:val="24"/>
                <w:szCs w:val="24"/>
              </w:rPr>
            </w:pPr>
            <w:r>
              <w:rPr>
                <w:rFonts w:hint="eastAsia" w:ascii="宋体" w:hAnsi="宋体" w:eastAsia="宋体" w:cs="宋体"/>
                <w:sz w:val="24"/>
                <w:szCs w:val="24"/>
              </w:rPr>
              <w:t>整体设计符合南通人力资源服务中心功能定位，贴合建筑设计风格和周边环境，造型简约大气，实用和美化功能并重，形式与内容有机结合，材质工艺尺寸标准清楚、合理，技术性能质量优异。</w:t>
            </w:r>
          </w:p>
          <w:p>
            <w:pPr>
              <w:rPr>
                <w:rFonts w:ascii="宋体" w:hAnsi="宋体" w:eastAsia="宋体"/>
                <w:kern w:val="0"/>
                <w:sz w:val="24"/>
                <w:szCs w:val="24"/>
              </w:rPr>
            </w:pPr>
            <w:r>
              <w:rPr>
                <w:rFonts w:hint="eastAsia" w:ascii="宋体" w:hAnsi="宋体" w:eastAsia="宋体" w:cs="宋体"/>
                <w:sz w:val="24"/>
                <w:szCs w:val="24"/>
              </w:rPr>
              <w:t>现场综合评分，优得</w:t>
            </w: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30分，良得15</w:t>
            </w:r>
            <w:r>
              <w:rPr>
                <w:rFonts w:ascii="宋体" w:hAnsi="宋体" w:eastAsia="宋体" w:cs="宋体"/>
                <w:sz w:val="24"/>
                <w:szCs w:val="24"/>
              </w:rPr>
              <w:t>-2</w:t>
            </w:r>
            <w:r>
              <w:rPr>
                <w:rFonts w:hint="eastAsia" w:ascii="宋体" w:hAnsi="宋体" w:eastAsia="宋体" w:cs="宋体"/>
                <w:sz w:val="24"/>
                <w:szCs w:val="24"/>
              </w:rPr>
              <w:t>2分，一般得7</w:t>
            </w:r>
            <w:r>
              <w:rPr>
                <w:rFonts w:ascii="宋体" w:hAnsi="宋体" w:eastAsia="宋体" w:cs="宋体"/>
                <w:sz w:val="24"/>
                <w:szCs w:val="24"/>
              </w:rPr>
              <w:t>-1</w:t>
            </w:r>
            <w:r>
              <w:rPr>
                <w:rFonts w:hint="eastAsia" w:ascii="宋体" w:hAnsi="宋体" w:eastAsia="宋体" w:cs="宋体"/>
                <w:sz w:val="24"/>
                <w:szCs w:val="24"/>
              </w:rPr>
              <w:t>4分，较差得</w:t>
            </w:r>
            <w:r>
              <w:rPr>
                <w:rFonts w:ascii="宋体" w:hAnsi="宋体" w:eastAsia="宋体" w:cs="宋体"/>
                <w:sz w:val="24"/>
                <w:szCs w:val="24"/>
              </w:rPr>
              <w:t>0-</w:t>
            </w: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83" w:type="dxa"/>
            <w:vAlign w:val="center"/>
          </w:tcPr>
          <w:p>
            <w:pPr>
              <w:pStyle w:val="24"/>
              <w:snapToGrid w:val="0"/>
              <w:jc w:val="center"/>
              <w:rPr>
                <w:rFonts w:hAnsi="宋体" w:eastAsia="宋体"/>
                <w:kern w:val="0"/>
                <w:sz w:val="24"/>
                <w:szCs w:val="24"/>
              </w:rPr>
            </w:pPr>
            <w:r>
              <w:rPr>
                <w:rFonts w:hAnsi="宋体" w:eastAsia="宋体"/>
                <w:kern w:val="0"/>
                <w:sz w:val="24"/>
                <w:szCs w:val="24"/>
              </w:rPr>
              <w:t>1.2</w:t>
            </w:r>
          </w:p>
        </w:tc>
        <w:tc>
          <w:tcPr>
            <w:tcW w:w="1911" w:type="dxa"/>
            <w:vAlign w:val="center"/>
          </w:tcPr>
          <w:p>
            <w:pPr>
              <w:pStyle w:val="24"/>
              <w:snapToGrid w:val="0"/>
              <w:jc w:val="center"/>
              <w:rPr>
                <w:rFonts w:hAnsi="宋体" w:eastAsia="宋体" w:cs="Times New Roman"/>
                <w:kern w:val="0"/>
                <w:sz w:val="24"/>
                <w:szCs w:val="24"/>
              </w:rPr>
            </w:pPr>
            <w:r>
              <w:rPr>
                <w:rFonts w:hint="eastAsia" w:hAnsi="宋体" w:eastAsia="宋体"/>
                <w:kern w:val="0"/>
                <w:sz w:val="24"/>
                <w:szCs w:val="24"/>
              </w:rPr>
              <w:t>政治、党建、文化等元素体现效果</w:t>
            </w:r>
          </w:p>
        </w:tc>
        <w:tc>
          <w:tcPr>
            <w:tcW w:w="993" w:type="dxa"/>
            <w:vAlign w:val="center"/>
          </w:tcPr>
          <w:p>
            <w:pPr>
              <w:pStyle w:val="24"/>
              <w:snapToGrid w:val="0"/>
              <w:jc w:val="center"/>
              <w:rPr>
                <w:rFonts w:hAnsi="宋体" w:eastAsia="宋体" w:cs="Times New Roman"/>
                <w:kern w:val="0"/>
                <w:sz w:val="24"/>
                <w:szCs w:val="24"/>
              </w:rPr>
            </w:pPr>
            <w:r>
              <w:rPr>
                <w:rFonts w:hAnsi="宋体" w:eastAsia="宋体"/>
                <w:kern w:val="0"/>
                <w:sz w:val="24"/>
                <w:szCs w:val="24"/>
              </w:rPr>
              <w:t>5</w:t>
            </w:r>
            <w:r>
              <w:rPr>
                <w:rFonts w:hint="eastAsia" w:hAnsi="宋体" w:eastAsia="宋体"/>
                <w:kern w:val="0"/>
                <w:sz w:val="24"/>
                <w:szCs w:val="24"/>
              </w:rPr>
              <w:t>分</w:t>
            </w:r>
          </w:p>
        </w:tc>
        <w:tc>
          <w:tcPr>
            <w:tcW w:w="6097" w:type="dxa"/>
            <w:vAlign w:val="center"/>
          </w:tcPr>
          <w:p>
            <w:pPr>
              <w:widowControl/>
              <w:snapToGrid w:val="0"/>
              <w:textAlignment w:val="center"/>
              <w:rPr>
                <w:rFonts w:ascii="宋体" w:hAnsi="宋体" w:eastAsia="宋体" w:cs="宋体"/>
                <w:sz w:val="24"/>
                <w:szCs w:val="24"/>
              </w:rPr>
            </w:pPr>
            <w:r>
              <w:rPr>
                <w:rFonts w:hint="eastAsia" w:ascii="宋体" w:hAnsi="宋体" w:eastAsia="宋体" w:cs="宋体"/>
                <w:sz w:val="24"/>
                <w:szCs w:val="24"/>
              </w:rPr>
              <w:t>设计方案体现中心服务需求，有机融入人文特色，具有较高文化品位。</w:t>
            </w:r>
          </w:p>
          <w:p>
            <w:pPr>
              <w:widowControl/>
              <w:snapToGrid w:val="0"/>
              <w:textAlignment w:val="center"/>
              <w:rPr>
                <w:rFonts w:ascii="宋体" w:hAnsi="宋体" w:eastAsia="宋体"/>
                <w:sz w:val="24"/>
                <w:szCs w:val="24"/>
              </w:rPr>
            </w:pPr>
            <w:r>
              <w:rPr>
                <w:rFonts w:hint="eastAsia" w:ascii="宋体" w:hAnsi="宋体" w:eastAsia="宋体" w:cs="宋体"/>
                <w:sz w:val="24"/>
                <w:szCs w:val="24"/>
              </w:rPr>
              <w:t>现场综合评分，优得</w:t>
            </w:r>
            <w:r>
              <w:rPr>
                <w:rFonts w:ascii="宋体" w:hAnsi="宋体" w:eastAsia="宋体" w:cs="宋体"/>
                <w:sz w:val="24"/>
                <w:szCs w:val="24"/>
              </w:rPr>
              <w:t>5</w:t>
            </w:r>
            <w:r>
              <w:rPr>
                <w:rFonts w:hint="eastAsia" w:ascii="宋体" w:hAnsi="宋体" w:eastAsia="宋体" w:cs="宋体"/>
                <w:sz w:val="24"/>
                <w:szCs w:val="24"/>
              </w:rPr>
              <w:t>分，良得</w:t>
            </w:r>
            <w:r>
              <w:rPr>
                <w:rFonts w:ascii="宋体" w:hAnsi="宋体" w:eastAsia="宋体" w:cs="宋体"/>
                <w:sz w:val="24"/>
                <w:szCs w:val="24"/>
              </w:rPr>
              <w:t>3-4</w:t>
            </w:r>
            <w:r>
              <w:rPr>
                <w:rFonts w:hint="eastAsia" w:ascii="宋体" w:hAnsi="宋体" w:eastAsia="宋体" w:cs="宋体"/>
                <w:sz w:val="24"/>
                <w:szCs w:val="24"/>
              </w:rPr>
              <w:t>分，一般得</w:t>
            </w:r>
            <w:r>
              <w:rPr>
                <w:rFonts w:ascii="宋体" w:hAnsi="宋体" w:eastAsia="宋体" w:cs="宋体"/>
                <w:sz w:val="24"/>
                <w:szCs w:val="24"/>
              </w:rPr>
              <w:t>0-2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783" w:type="dxa"/>
            <w:vAlign w:val="center"/>
          </w:tcPr>
          <w:p>
            <w:pPr>
              <w:pStyle w:val="24"/>
              <w:snapToGrid w:val="0"/>
              <w:jc w:val="center"/>
              <w:rPr>
                <w:rFonts w:hAnsi="宋体" w:eastAsia="宋体"/>
                <w:b/>
                <w:bCs/>
                <w:kern w:val="0"/>
                <w:sz w:val="24"/>
                <w:szCs w:val="24"/>
              </w:rPr>
            </w:pPr>
            <w:r>
              <w:rPr>
                <w:rFonts w:hAnsi="宋体" w:eastAsia="宋体"/>
                <w:b/>
                <w:bCs/>
                <w:kern w:val="0"/>
                <w:sz w:val="24"/>
                <w:szCs w:val="24"/>
              </w:rPr>
              <w:t>2</w:t>
            </w:r>
          </w:p>
        </w:tc>
        <w:tc>
          <w:tcPr>
            <w:tcW w:w="1911" w:type="dxa"/>
            <w:vAlign w:val="center"/>
          </w:tcPr>
          <w:p>
            <w:pPr>
              <w:pStyle w:val="24"/>
              <w:snapToGrid w:val="0"/>
              <w:jc w:val="center"/>
              <w:rPr>
                <w:rFonts w:hAnsi="宋体" w:eastAsia="宋体" w:cs="Times New Roman"/>
                <w:b/>
                <w:bCs/>
                <w:kern w:val="0"/>
                <w:sz w:val="24"/>
                <w:szCs w:val="24"/>
              </w:rPr>
            </w:pPr>
            <w:r>
              <w:rPr>
                <w:rFonts w:hint="eastAsia" w:hAnsi="宋体" w:eastAsia="宋体"/>
                <w:b/>
                <w:bCs/>
                <w:kern w:val="0"/>
                <w:sz w:val="24"/>
                <w:szCs w:val="24"/>
              </w:rPr>
              <w:t>实施方案</w:t>
            </w:r>
          </w:p>
        </w:tc>
        <w:tc>
          <w:tcPr>
            <w:tcW w:w="993" w:type="dxa"/>
            <w:vAlign w:val="center"/>
          </w:tcPr>
          <w:p>
            <w:pPr>
              <w:pStyle w:val="24"/>
              <w:snapToGrid w:val="0"/>
              <w:jc w:val="center"/>
              <w:rPr>
                <w:rFonts w:hAnsi="宋体" w:eastAsia="宋体" w:cs="Times New Roman"/>
                <w:b/>
                <w:bCs/>
                <w:sz w:val="24"/>
                <w:szCs w:val="24"/>
              </w:rPr>
            </w:pPr>
            <w:r>
              <w:rPr>
                <w:rFonts w:hAnsi="宋体" w:eastAsia="宋体"/>
                <w:b/>
                <w:bCs/>
                <w:sz w:val="24"/>
                <w:szCs w:val="24"/>
              </w:rPr>
              <w:t>15</w:t>
            </w:r>
            <w:r>
              <w:rPr>
                <w:rFonts w:hint="eastAsia" w:hAnsi="宋体" w:eastAsia="宋体"/>
                <w:b/>
                <w:bCs/>
                <w:sz w:val="24"/>
                <w:szCs w:val="24"/>
              </w:rPr>
              <w:t>分</w:t>
            </w:r>
          </w:p>
        </w:tc>
        <w:tc>
          <w:tcPr>
            <w:tcW w:w="6097" w:type="dxa"/>
            <w:vAlign w:val="center"/>
          </w:tcPr>
          <w:p>
            <w:pPr>
              <w:widowControl/>
              <w:snapToGrid w:val="0"/>
              <w:textAlignment w:val="center"/>
              <w:rPr>
                <w:rFonts w:ascii="宋体" w:hAnsi="宋体" w:eastAsia="宋体"/>
                <w:kern w:val="0"/>
                <w:sz w:val="24"/>
                <w:szCs w:val="24"/>
              </w:rPr>
            </w:pPr>
            <w:r>
              <w:rPr>
                <w:rFonts w:hint="eastAsia" w:ascii="宋体" w:hAnsi="宋体" w:eastAsia="宋体" w:cs="宋体"/>
                <w:sz w:val="24"/>
                <w:szCs w:val="24"/>
              </w:rPr>
              <w:t>投标人</w:t>
            </w:r>
            <w:r>
              <w:rPr>
                <w:rFonts w:hint="eastAsia" w:ascii="宋体" w:hAnsi="宋体" w:eastAsia="宋体" w:cs="宋体"/>
                <w:kern w:val="0"/>
                <w:sz w:val="24"/>
                <w:szCs w:val="24"/>
              </w:rPr>
              <w:t>制定项目实施方案，包括</w:t>
            </w:r>
            <w:r>
              <w:rPr>
                <w:rFonts w:hint="eastAsia" w:ascii="宋体" w:hAnsi="宋体" w:eastAsia="宋体" w:cs="宋体"/>
                <w:sz w:val="24"/>
                <w:szCs w:val="24"/>
              </w:rPr>
              <w:t>标识、标牌、名牌、文化布置的生产加工工艺、质量控制措施、安装全过程</w:t>
            </w:r>
            <w:r>
              <w:rPr>
                <w:rFonts w:hint="eastAsia" w:ascii="宋体" w:hAnsi="宋体" w:eastAsia="宋体" w:cs="宋体"/>
                <w:kern w:val="0"/>
                <w:sz w:val="24"/>
                <w:szCs w:val="24"/>
              </w:rPr>
              <w:t>进度</w:t>
            </w:r>
            <w:r>
              <w:rPr>
                <w:rFonts w:hint="eastAsia" w:ascii="宋体" w:hAnsi="宋体" w:eastAsia="宋体" w:cs="宋体"/>
                <w:sz w:val="24"/>
                <w:szCs w:val="24"/>
              </w:rPr>
              <w:t>计划，以及</w:t>
            </w:r>
            <w:r>
              <w:rPr>
                <w:rFonts w:hint="eastAsia" w:ascii="宋体" w:hAnsi="宋体" w:eastAsia="宋体" w:cs="宋体"/>
                <w:kern w:val="0"/>
                <w:sz w:val="24"/>
                <w:szCs w:val="24"/>
              </w:rPr>
              <w:t>团队实力、安全文明施工、</w:t>
            </w:r>
            <w:r>
              <w:rPr>
                <w:rFonts w:hint="eastAsia" w:ascii="宋体" w:hAnsi="宋体" w:eastAsia="宋体" w:cs="宋体"/>
                <w:sz w:val="24"/>
                <w:szCs w:val="24"/>
              </w:rPr>
              <w:t>应急</w:t>
            </w:r>
            <w:r>
              <w:rPr>
                <w:rFonts w:hint="eastAsia" w:ascii="宋体" w:hAnsi="宋体" w:eastAsia="宋体" w:cs="宋体"/>
                <w:kern w:val="0"/>
                <w:sz w:val="24"/>
                <w:szCs w:val="24"/>
              </w:rPr>
              <w:t>保障措施等内容。</w:t>
            </w:r>
          </w:p>
          <w:p>
            <w:pPr>
              <w:widowControl/>
              <w:snapToGrid w:val="0"/>
              <w:textAlignment w:val="center"/>
              <w:rPr>
                <w:rFonts w:ascii="宋体" w:hAnsi="宋体" w:eastAsia="宋体"/>
                <w:kern w:val="0"/>
                <w:sz w:val="24"/>
                <w:szCs w:val="24"/>
              </w:rPr>
            </w:pPr>
            <w:r>
              <w:rPr>
                <w:rFonts w:hint="eastAsia" w:ascii="宋体" w:hAnsi="宋体" w:eastAsia="宋体" w:cs="宋体"/>
                <w:kern w:val="0"/>
                <w:sz w:val="24"/>
                <w:szCs w:val="24"/>
              </w:rPr>
              <w:t>对实施方案的针对性、科学性、新颖性进行横向对比打分，优得</w:t>
            </w:r>
            <w:r>
              <w:rPr>
                <w:rFonts w:ascii="宋体" w:hAnsi="宋体" w:eastAsia="宋体" w:cs="宋体"/>
                <w:kern w:val="0"/>
                <w:sz w:val="24"/>
                <w:szCs w:val="24"/>
              </w:rPr>
              <w:t>11-15</w:t>
            </w:r>
            <w:r>
              <w:rPr>
                <w:rFonts w:hint="eastAsia" w:ascii="宋体" w:hAnsi="宋体" w:eastAsia="宋体" w:cs="宋体"/>
                <w:kern w:val="0"/>
                <w:sz w:val="24"/>
                <w:szCs w:val="24"/>
              </w:rPr>
              <w:t>分，良得</w:t>
            </w:r>
            <w:r>
              <w:rPr>
                <w:rFonts w:ascii="宋体" w:hAnsi="宋体" w:eastAsia="宋体" w:cs="宋体"/>
                <w:kern w:val="0"/>
                <w:sz w:val="24"/>
                <w:szCs w:val="24"/>
              </w:rPr>
              <w:t>6-10</w:t>
            </w:r>
            <w:r>
              <w:rPr>
                <w:rFonts w:hint="eastAsia" w:ascii="宋体" w:hAnsi="宋体" w:eastAsia="宋体" w:cs="宋体"/>
                <w:kern w:val="0"/>
                <w:sz w:val="24"/>
                <w:szCs w:val="24"/>
              </w:rPr>
              <w:t>分，一般得</w:t>
            </w:r>
            <w:r>
              <w:rPr>
                <w:rFonts w:ascii="宋体" w:hAnsi="宋体" w:eastAsia="宋体" w:cs="宋体"/>
                <w:kern w:val="0"/>
                <w:sz w:val="24"/>
                <w:szCs w:val="24"/>
              </w:rPr>
              <w:t>0-5</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3" w:type="dxa"/>
            <w:vAlign w:val="center"/>
          </w:tcPr>
          <w:p>
            <w:pPr>
              <w:pStyle w:val="24"/>
              <w:snapToGrid w:val="0"/>
              <w:jc w:val="center"/>
              <w:rPr>
                <w:rFonts w:hAnsi="宋体" w:eastAsia="宋体"/>
                <w:b/>
                <w:bCs/>
                <w:kern w:val="0"/>
                <w:sz w:val="24"/>
                <w:szCs w:val="24"/>
              </w:rPr>
            </w:pPr>
            <w:r>
              <w:rPr>
                <w:rFonts w:hAnsi="宋体" w:eastAsia="宋体"/>
                <w:b/>
                <w:bCs/>
                <w:kern w:val="0"/>
                <w:sz w:val="24"/>
                <w:szCs w:val="24"/>
              </w:rPr>
              <w:t>3</w:t>
            </w:r>
          </w:p>
        </w:tc>
        <w:tc>
          <w:tcPr>
            <w:tcW w:w="1911" w:type="dxa"/>
            <w:vAlign w:val="center"/>
          </w:tcPr>
          <w:p>
            <w:pPr>
              <w:pStyle w:val="24"/>
              <w:snapToGrid w:val="0"/>
              <w:jc w:val="center"/>
              <w:rPr>
                <w:rFonts w:hAnsi="宋体" w:eastAsia="宋体" w:cs="Times New Roman"/>
                <w:b/>
                <w:bCs/>
                <w:kern w:val="0"/>
                <w:sz w:val="24"/>
                <w:szCs w:val="24"/>
              </w:rPr>
            </w:pPr>
            <w:r>
              <w:rPr>
                <w:rFonts w:hint="eastAsia" w:hAnsi="宋体" w:eastAsia="宋体"/>
                <w:b/>
                <w:bCs/>
                <w:kern w:val="0"/>
                <w:sz w:val="24"/>
                <w:szCs w:val="24"/>
              </w:rPr>
              <w:t>服务及质保</w:t>
            </w:r>
          </w:p>
        </w:tc>
        <w:tc>
          <w:tcPr>
            <w:tcW w:w="993" w:type="dxa"/>
            <w:vAlign w:val="center"/>
          </w:tcPr>
          <w:p>
            <w:pPr>
              <w:pStyle w:val="24"/>
              <w:snapToGrid w:val="0"/>
              <w:jc w:val="center"/>
              <w:rPr>
                <w:rFonts w:hAnsi="宋体" w:eastAsia="宋体" w:cs="Times New Roman"/>
                <w:b/>
                <w:bCs/>
                <w:sz w:val="24"/>
                <w:szCs w:val="24"/>
              </w:rPr>
            </w:pPr>
            <w:r>
              <w:rPr>
                <w:rFonts w:hAnsi="宋体" w:eastAsia="宋体"/>
                <w:b/>
                <w:bCs/>
                <w:sz w:val="24"/>
                <w:szCs w:val="24"/>
              </w:rPr>
              <w:t>10</w:t>
            </w:r>
            <w:r>
              <w:rPr>
                <w:rFonts w:hint="eastAsia" w:hAnsi="宋体" w:eastAsia="宋体"/>
                <w:b/>
                <w:bCs/>
                <w:sz w:val="24"/>
                <w:szCs w:val="24"/>
              </w:rPr>
              <w:t>分</w:t>
            </w:r>
          </w:p>
        </w:tc>
        <w:tc>
          <w:tcPr>
            <w:tcW w:w="6097" w:type="dxa"/>
            <w:vAlign w:val="center"/>
          </w:tcPr>
          <w:p>
            <w:pPr>
              <w:widowControl/>
              <w:snapToGrid w:val="0"/>
              <w:textAlignment w:val="center"/>
              <w:rPr>
                <w:rFonts w:ascii="宋体" w:hAnsi="宋体" w:eastAsia="宋体"/>
                <w:kern w:val="0"/>
                <w:sz w:val="24"/>
                <w:szCs w:val="24"/>
              </w:rPr>
            </w:pPr>
            <w:r>
              <w:rPr>
                <w:rFonts w:hint="eastAsia" w:ascii="宋体" w:hAnsi="宋体" w:eastAsia="宋体" w:cs="宋体"/>
                <w:kern w:val="0"/>
                <w:sz w:val="24"/>
                <w:szCs w:val="24"/>
              </w:rPr>
              <w:t>服务方案及质保承诺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3" w:type="dxa"/>
            <w:vAlign w:val="center"/>
          </w:tcPr>
          <w:p>
            <w:pPr>
              <w:pStyle w:val="24"/>
              <w:snapToGrid w:val="0"/>
              <w:jc w:val="center"/>
              <w:rPr>
                <w:rFonts w:hAnsi="宋体" w:eastAsia="宋体"/>
                <w:kern w:val="0"/>
                <w:sz w:val="24"/>
                <w:szCs w:val="24"/>
              </w:rPr>
            </w:pPr>
            <w:r>
              <w:rPr>
                <w:rFonts w:hAnsi="宋体" w:eastAsia="宋体"/>
                <w:kern w:val="0"/>
                <w:sz w:val="24"/>
                <w:szCs w:val="24"/>
              </w:rPr>
              <w:t>3.1</w:t>
            </w:r>
          </w:p>
        </w:tc>
        <w:tc>
          <w:tcPr>
            <w:tcW w:w="1911" w:type="dxa"/>
            <w:vAlign w:val="center"/>
          </w:tcPr>
          <w:p>
            <w:pPr>
              <w:pStyle w:val="24"/>
              <w:snapToGrid w:val="0"/>
              <w:jc w:val="center"/>
              <w:rPr>
                <w:rFonts w:hAnsi="宋体" w:eastAsia="宋体" w:cs="Times New Roman"/>
                <w:kern w:val="0"/>
                <w:sz w:val="24"/>
                <w:szCs w:val="24"/>
              </w:rPr>
            </w:pPr>
            <w:r>
              <w:rPr>
                <w:rFonts w:hint="eastAsia" w:hAnsi="宋体" w:eastAsia="宋体"/>
                <w:kern w:val="0"/>
                <w:sz w:val="24"/>
                <w:szCs w:val="24"/>
              </w:rPr>
              <w:t>售后服务方案</w:t>
            </w:r>
          </w:p>
        </w:tc>
        <w:tc>
          <w:tcPr>
            <w:tcW w:w="993" w:type="dxa"/>
            <w:vAlign w:val="center"/>
          </w:tcPr>
          <w:p>
            <w:pPr>
              <w:pStyle w:val="24"/>
              <w:snapToGrid w:val="0"/>
              <w:jc w:val="center"/>
              <w:rPr>
                <w:rFonts w:hAnsi="宋体" w:eastAsia="宋体" w:cs="Times New Roman"/>
                <w:sz w:val="24"/>
                <w:szCs w:val="24"/>
              </w:rPr>
            </w:pPr>
            <w:r>
              <w:rPr>
                <w:rFonts w:hAnsi="宋体" w:eastAsia="宋体"/>
                <w:sz w:val="24"/>
                <w:szCs w:val="24"/>
              </w:rPr>
              <w:t>6</w:t>
            </w:r>
            <w:r>
              <w:rPr>
                <w:rFonts w:hint="eastAsia" w:hAnsi="宋体" w:eastAsia="宋体"/>
                <w:sz w:val="24"/>
                <w:szCs w:val="24"/>
              </w:rPr>
              <w:t>分</w:t>
            </w:r>
          </w:p>
        </w:tc>
        <w:tc>
          <w:tcPr>
            <w:tcW w:w="6097" w:type="dxa"/>
            <w:vAlign w:val="center"/>
          </w:tcPr>
          <w:p>
            <w:pPr>
              <w:widowControl/>
              <w:snapToGrid w:val="0"/>
              <w:textAlignment w:val="center"/>
              <w:rPr>
                <w:rFonts w:ascii="宋体" w:hAnsi="宋体" w:eastAsia="宋体"/>
                <w:kern w:val="0"/>
                <w:sz w:val="24"/>
                <w:szCs w:val="24"/>
              </w:rPr>
            </w:pPr>
            <w:r>
              <w:rPr>
                <w:rFonts w:hint="eastAsia" w:ascii="宋体" w:hAnsi="宋体" w:eastAsia="宋体" w:cs="宋体"/>
                <w:sz w:val="24"/>
                <w:szCs w:val="24"/>
              </w:rPr>
              <w:t>投标人提供完善、有保障的售后服务体系，具体的保障方案，从服务承诺、服务措施、响应方案、应急情况处理等进行综合评分，优</w:t>
            </w:r>
            <w:r>
              <w:rPr>
                <w:rFonts w:ascii="宋体" w:hAnsi="宋体" w:eastAsia="宋体" w:cs="宋体"/>
                <w:sz w:val="24"/>
                <w:szCs w:val="24"/>
              </w:rPr>
              <w:t>5-6</w:t>
            </w:r>
            <w:r>
              <w:rPr>
                <w:rFonts w:hint="eastAsia" w:ascii="宋体" w:hAnsi="宋体" w:eastAsia="宋体" w:cs="宋体"/>
                <w:sz w:val="24"/>
                <w:szCs w:val="24"/>
              </w:rPr>
              <w:t>分，良</w:t>
            </w:r>
            <w:r>
              <w:rPr>
                <w:rFonts w:ascii="宋体" w:hAnsi="宋体" w:eastAsia="宋体" w:cs="宋体"/>
                <w:sz w:val="24"/>
                <w:szCs w:val="24"/>
              </w:rPr>
              <w:t>3-4</w:t>
            </w:r>
            <w:r>
              <w:rPr>
                <w:rFonts w:hint="eastAsia" w:ascii="宋体" w:hAnsi="宋体" w:eastAsia="宋体" w:cs="宋体"/>
                <w:sz w:val="24"/>
                <w:szCs w:val="24"/>
              </w:rPr>
              <w:t>分，一般0</w:t>
            </w:r>
            <w:r>
              <w:rPr>
                <w:rFonts w:ascii="宋体" w:hAnsi="宋体" w:eastAsia="宋体" w:cs="宋体"/>
                <w:sz w:val="24"/>
                <w:szCs w:val="24"/>
              </w:rPr>
              <w:t>-2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83" w:type="dxa"/>
            <w:vAlign w:val="center"/>
          </w:tcPr>
          <w:p>
            <w:pPr>
              <w:pStyle w:val="24"/>
              <w:snapToGrid w:val="0"/>
              <w:jc w:val="center"/>
              <w:rPr>
                <w:rFonts w:hAnsi="宋体" w:eastAsia="宋体"/>
                <w:kern w:val="0"/>
                <w:sz w:val="24"/>
                <w:szCs w:val="24"/>
              </w:rPr>
            </w:pPr>
            <w:r>
              <w:rPr>
                <w:rFonts w:hAnsi="宋体" w:eastAsia="宋体"/>
                <w:kern w:val="0"/>
                <w:sz w:val="24"/>
                <w:szCs w:val="24"/>
              </w:rPr>
              <w:t>3.2</w:t>
            </w:r>
          </w:p>
        </w:tc>
        <w:tc>
          <w:tcPr>
            <w:tcW w:w="1911" w:type="dxa"/>
            <w:vAlign w:val="center"/>
          </w:tcPr>
          <w:p>
            <w:pPr>
              <w:pStyle w:val="24"/>
              <w:snapToGrid w:val="0"/>
              <w:jc w:val="center"/>
              <w:rPr>
                <w:rFonts w:hAnsi="宋体" w:eastAsia="宋体" w:cs="Times New Roman"/>
                <w:kern w:val="0"/>
                <w:sz w:val="24"/>
                <w:szCs w:val="24"/>
              </w:rPr>
            </w:pPr>
            <w:r>
              <w:rPr>
                <w:rFonts w:hint="eastAsia" w:hAnsi="宋体" w:eastAsia="宋体"/>
                <w:kern w:val="0"/>
                <w:sz w:val="24"/>
                <w:szCs w:val="24"/>
              </w:rPr>
              <w:t>免费质保期</w:t>
            </w:r>
          </w:p>
        </w:tc>
        <w:tc>
          <w:tcPr>
            <w:tcW w:w="993" w:type="dxa"/>
            <w:vAlign w:val="center"/>
          </w:tcPr>
          <w:p>
            <w:pPr>
              <w:pStyle w:val="24"/>
              <w:snapToGrid w:val="0"/>
              <w:jc w:val="center"/>
              <w:rPr>
                <w:rFonts w:hAnsi="宋体" w:eastAsia="宋体" w:cs="Times New Roman"/>
                <w:sz w:val="24"/>
                <w:szCs w:val="24"/>
              </w:rPr>
            </w:pPr>
            <w:r>
              <w:rPr>
                <w:rFonts w:hAnsi="宋体" w:eastAsia="宋体"/>
                <w:sz w:val="24"/>
                <w:szCs w:val="24"/>
              </w:rPr>
              <w:t>4</w:t>
            </w:r>
            <w:r>
              <w:rPr>
                <w:rFonts w:hint="eastAsia" w:hAnsi="宋体" w:eastAsia="宋体"/>
                <w:sz w:val="24"/>
                <w:szCs w:val="24"/>
              </w:rPr>
              <w:t>分</w:t>
            </w:r>
          </w:p>
        </w:tc>
        <w:tc>
          <w:tcPr>
            <w:tcW w:w="6097" w:type="dxa"/>
            <w:vAlign w:val="center"/>
          </w:tcPr>
          <w:p>
            <w:pPr>
              <w:widowControl/>
              <w:snapToGrid w:val="0"/>
              <w:textAlignment w:val="center"/>
              <w:rPr>
                <w:rFonts w:ascii="宋体" w:hAnsi="宋体" w:eastAsia="宋体"/>
                <w:kern w:val="0"/>
                <w:sz w:val="24"/>
                <w:szCs w:val="24"/>
              </w:rPr>
            </w:pPr>
            <w:r>
              <w:rPr>
                <w:rFonts w:hint="eastAsia" w:ascii="宋体" w:hAnsi="宋体" w:eastAsia="宋体" w:cs="宋体"/>
                <w:kern w:val="0"/>
                <w:sz w:val="24"/>
                <w:szCs w:val="24"/>
              </w:rPr>
              <w:t>本项目要求整体免费质保期至少为一年，在此基础上每增加一年得</w:t>
            </w:r>
            <w:r>
              <w:rPr>
                <w:rFonts w:ascii="宋体" w:hAnsi="宋体" w:eastAsia="宋体" w:cs="宋体"/>
                <w:kern w:val="0"/>
                <w:sz w:val="24"/>
                <w:szCs w:val="24"/>
              </w:rPr>
              <w:t>2</w:t>
            </w:r>
            <w:r>
              <w:rPr>
                <w:rFonts w:hint="eastAsia" w:ascii="宋体" w:hAnsi="宋体" w:eastAsia="宋体" w:cs="宋体"/>
                <w:kern w:val="0"/>
                <w:sz w:val="24"/>
                <w:szCs w:val="24"/>
              </w:rPr>
              <w:t>分，最多得</w:t>
            </w:r>
            <w:r>
              <w:rPr>
                <w:rFonts w:ascii="宋体" w:hAnsi="宋体" w:eastAsia="宋体" w:cs="宋体"/>
                <w:kern w:val="0"/>
                <w:sz w:val="24"/>
                <w:szCs w:val="24"/>
              </w:rPr>
              <w:t>4</w:t>
            </w:r>
            <w:r>
              <w:rPr>
                <w:rFonts w:hint="eastAsia" w:ascii="宋体" w:hAnsi="宋体" w:eastAsia="宋体" w:cs="宋体"/>
                <w:kern w:val="0"/>
                <w:sz w:val="24"/>
                <w:szCs w:val="24"/>
              </w:rPr>
              <w:t>分。须提供免费质保期承诺书，否则此项不得分。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83" w:type="dxa"/>
            <w:vAlign w:val="center"/>
          </w:tcPr>
          <w:p>
            <w:pPr>
              <w:pStyle w:val="24"/>
              <w:snapToGrid w:val="0"/>
              <w:jc w:val="center"/>
              <w:rPr>
                <w:rFonts w:hAnsi="宋体" w:eastAsia="宋体"/>
                <w:b/>
                <w:bCs/>
                <w:kern w:val="0"/>
                <w:sz w:val="24"/>
                <w:szCs w:val="24"/>
              </w:rPr>
            </w:pPr>
            <w:r>
              <w:rPr>
                <w:rFonts w:hint="eastAsia" w:hAnsi="宋体" w:eastAsia="宋体"/>
                <w:b/>
                <w:bCs/>
                <w:kern w:val="0"/>
                <w:sz w:val="24"/>
                <w:szCs w:val="24"/>
              </w:rPr>
              <w:t>4</w:t>
            </w:r>
          </w:p>
        </w:tc>
        <w:tc>
          <w:tcPr>
            <w:tcW w:w="1911" w:type="dxa"/>
            <w:vAlign w:val="center"/>
          </w:tcPr>
          <w:p>
            <w:pPr>
              <w:pStyle w:val="24"/>
              <w:snapToGrid w:val="0"/>
              <w:jc w:val="center"/>
              <w:rPr>
                <w:rFonts w:hAnsi="宋体" w:eastAsia="宋体" w:cs="Times New Roman"/>
                <w:b/>
                <w:bCs/>
                <w:kern w:val="0"/>
                <w:sz w:val="24"/>
                <w:szCs w:val="24"/>
              </w:rPr>
            </w:pPr>
            <w:r>
              <w:rPr>
                <w:rFonts w:hint="eastAsia" w:hAnsi="宋体" w:eastAsia="宋体"/>
                <w:b/>
                <w:bCs/>
                <w:kern w:val="0"/>
                <w:sz w:val="24"/>
                <w:szCs w:val="24"/>
              </w:rPr>
              <w:t>样品</w:t>
            </w:r>
          </w:p>
        </w:tc>
        <w:tc>
          <w:tcPr>
            <w:tcW w:w="993" w:type="dxa"/>
            <w:vAlign w:val="center"/>
          </w:tcPr>
          <w:p>
            <w:pPr>
              <w:pStyle w:val="24"/>
              <w:snapToGrid w:val="0"/>
              <w:jc w:val="center"/>
              <w:rPr>
                <w:rFonts w:hAnsi="宋体" w:eastAsia="宋体" w:cs="Times New Roman"/>
                <w:b/>
                <w:bCs/>
                <w:sz w:val="24"/>
                <w:szCs w:val="24"/>
              </w:rPr>
            </w:pPr>
            <w:r>
              <w:rPr>
                <w:rFonts w:hint="eastAsia" w:hAnsi="宋体" w:eastAsia="宋体"/>
                <w:b/>
                <w:bCs/>
                <w:kern w:val="0"/>
                <w:sz w:val="24"/>
                <w:szCs w:val="24"/>
              </w:rPr>
              <w:t>1</w:t>
            </w:r>
            <w:r>
              <w:rPr>
                <w:rFonts w:hAnsi="宋体" w:eastAsia="宋体"/>
                <w:b/>
                <w:bCs/>
                <w:kern w:val="0"/>
                <w:sz w:val="24"/>
                <w:szCs w:val="24"/>
              </w:rPr>
              <w:t>0</w:t>
            </w:r>
            <w:r>
              <w:rPr>
                <w:rFonts w:hint="eastAsia" w:hAnsi="宋体" w:eastAsia="宋体"/>
                <w:b/>
                <w:bCs/>
                <w:kern w:val="0"/>
                <w:sz w:val="24"/>
                <w:szCs w:val="24"/>
              </w:rPr>
              <w:t>分</w:t>
            </w:r>
          </w:p>
        </w:tc>
        <w:tc>
          <w:tcPr>
            <w:tcW w:w="6097" w:type="dxa"/>
            <w:vAlign w:val="center"/>
          </w:tcPr>
          <w:p>
            <w:pPr>
              <w:widowControl/>
              <w:snapToGrid w:val="0"/>
              <w:textAlignment w:val="center"/>
              <w:rPr>
                <w:rFonts w:ascii="宋体" w:hAnsi="宋体" w:eastAsia="宋体"/>
                <w:sz w:val="24"/>
                <w:szCs w:val="24"/>
              </w:rPr>
            </w:pPr>
            <w:r>
              <w:rPr>
                <w:rFonts w:hint="eastAsia" w:ascii="宋体" w:hAnsi="宋体" w:eastAsia="宋体" w:cs="宋体"/>
                <w:sz w:val="24"/>
                <w:szCs w:val="24"/>
              </w:rPr>
              <w:t>投标人根据采购方需求，对深化设计的标识标牌进行产品打样（项目需求清单注</w:t>
            </w:r>
            <w:r>
              <w:rPr>
                <w:rFonts w:hint="eastAsia" w:ascii="仿宋_GB2312" w:eastAsia="仿宋_GB2312" w:cs="仿宋_GB2312"/>
                <w:sz w:val="28"/>
                <w:szCs w:val="28"/>
              </w:rPr>
              <w:t>★者</w:t>
            </w:r>
            <w:r>
              <w:rPr>
                <w:rFonts w:hint="eastAsia" w:ascii="宋体" w:hAnsi="宋体" w:eastAsia="宋体" w:cs="宋体"/>
                <w:sz w:val="24"/>
                <w:szCs w:val="24"/>
              </w:rPr>
              <w:t>为样品），并带至评审现场。</w:t>
            </w:r>
          </w:p>
          <w:p>
            <w:pPr>
              <w:widowControl/>
              <w:snapToGrid w:val="0"/>
              <w:textAlignment w:val="center"/>
              <w:rPr>
                <w:rFonts w:ascii="宋体" w:hAnsi="宋体" w:eastAsia="宋体"/>
                <w:sz w:val="24"/>
                <w:szCs w:val="24"/>
              </w:rPr>
            </w:pPr>
            <w:r>
              <w:rPr>
                <w:rFonts w:hint="eastAsia" w:ascii="宋体" w:hAnsi="宋体" w:eastAsia="宋体" w:cs="宋体"/>
                <w:sz w:val="24"/>
                <w:szCs w:val="24"/>
              </w:rPr>
              <w:t>根据样品的生产工艺、外观美观度、合理性等因素进行横向对比综合评分，优得</w:t>
            </w:r>
            <w:r>
              <w:rPr>
                <w:rFonts w:hint="eastAsia" w:ascii="宋体" w:hAnsi="宋体" w:eastAsia="宋体" w:cs="宋体"/>
                <w:sz w:val="24"/>
                <w:szCs w:val="24"/>
                <w:lang w:val="en-US" w:eastAsia="zh-CN"/>
              </w:rPr>
              <w:t>8</w:t>
            </w:r>
            <w:r>
              <w:rPr>
                <w:rFonts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分，良得</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分，一般得</w:t>
            </w:r>
            <w:r>
              <w:rPr>
                <w:rFonts w:hint="eastAsia" w:ascii="宋体" w:hAnsi="宋体" w:eastAsia="宋体" w:cs="宋体"/>
                <w:sz w:val="24"/>
                <w:szCs w:val="24"/>
                <w:lang w:val="en-US" w:eastAsia="zh-CN"/>
              </w:rPr>
              <w:t>2</w:t>
            </w:r>
            <w:r>
              <w:rPr>
                <w:rFonts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分，较差得</w:t>
            </w:r>
            <w:r>
              <w:rPr>
                <w:rFonts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84" w:type="dxa"/>
            <w:gridSpan w:val="4"/>
            <w:vAlign w:val="center"/>
          </w:tcPr>
          <w:p>
            <w:pPr>
              <w:widowControl/>
              <w:snapToGrid w:val="0"/>
              <w:textAlignment w:val="center"/>
              <w:rPr>
                <w:rFonts w:ascii="宋体" w:hAnsi="宋体" w:eastAsia="宋体"/>
                <w:b/>
                <w:bCs/>
                <w:kern w:val="0"/>
                <w:sz w:val="24"/>
                <w:szCs w:val="24"/>
              </w:rPr>
            </w:pPr>
            <w:r>
              <w:rPr>
                <w:rFonts w:hint="eastAsia" w:ascii="宋体" w:hAnsi="宋体" w:eastAsia="宋体" w:cs="宋体"/>
                <w:b/>
                <w:bCs/>
                <w:kern w:val="0"/>
                <w:sz w:val="24"/>
                <w:szCs w:val="24"/>
              </w:rPr>
              <w:t>备注：</w:t>
            </w:r>
            <w:r>
              <w:rPr>
                <w:rFonts w:hint="eastAsia" w:ascii="宋体" w:hAnsi="宋体" w:eastAsia="宋体" w:cs="宋体"/>
                <w:sz w:val="24"/>
                <w:szCs w:val="24"/>
              </w:rPr>
              <w:t>以上证明材料为加盖投标人公章的复印件，且携带原件备查。投标人未携带原件或因携带原件不全而产生的后果由投标人自行负责。</w:t>
            </w:r>
          </w:p>
        </w:tc>
      </w:tr>
    </w:tbl>
    <w:p>
      <w:pPr>
        <w:spacing w:line="420" w:lineRule="exact"/>
        <w:ind w:firstLine="480" w:firstLineChars="200"/>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价格分：3</w:t>
      </w:r>
      <w:r>
        <w:rPr>
          <w:rFonts w:ascii="宋体" w:hAnsi="宋体" w:eastAsia="宋体" w:cs="宋体"/>
          <w:sz w:val="24"/>
          <w:szCs w:val="24"/>
        </w:rPr>
        <w:t>0</w:t>
      </w:r>
      <w:r>
        <w:rPr>
          <w:rFonts w:hint="eastAsia" w:ascii="宋体" w:hAnsi="宋体" w:eastAsia="宋体" w:cs="宋体"/>
          <w:sz w:val="24"/>
          <w:szCs w:val="24"/>
        </w:rPr>
        <w:t>分</w:t>
      </w:r>
    </w:p>
    <w:tbl>
      <w:tblPr>
        <w:tblStyle w:val="47"/>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833"/>
        <w:gridCol w:w="917"/>
        <w:gridCol w:w="7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916" w:type="dxa"/>
            <w:vAlign w:val="center"/>
          </w:tcPr>
          <w:p>
            <w:pPr>
              <w:spacing w:line="240" w:lineRule="exact"/>
              <w:jc w:val="center"/>
              <w:rPr>
                <w:rFonts w:ascii="宋体" w:hAnsi="宋体" w:eastAsia="宋体"/>
                <w:sz w:val="24"/>
                <w:szCs w:val="24"/>
              </w:rPr>
            </w:pPr>
            <w:r>
              <w:rPr>
                <w:rFonts w:hint="eastAsia" w:ascii="宋体" w:hAnsi="宋体" w:eastAsia="宋体" w:cs="宋体"/>
                <w:sz w:val="24"/>
                <w:szCs w:val="24"/>
              </w:rPr>
              <w:t>序号</w:t>
            </w:r>
          </w:p>
        </w:tc>
        <w:tc>
          <w:tcPr>
            <w:tcW w:w="833" w:type="dxa"/>
            <w:vAlign w:val="center"/>
          </w:tcPr>
          <w:p>
            <w:pPr>
              <w:spacing w:line="240" w:lineRule="exact"/>
              <w:jc w:val="center"/>
              <w:rPr>
                <w:rFonts w:ascii="宋体" w:hAnsi="宋体" w:eastAsia="宋体"/>
                <w:sz w:val="24"/>
                <w:szCs w:val="24"/>
              </w:rPr>
            </w:pPr>
            <w:r>
              <w:rPr>
                <w:rFonts w:hint="eastAsia" w:ascii="宋体" w:hAnsi="宋体" w:eastAsia="宋体" w:cs="宋体"/>
                <w:sz w:val="24"/>
                <w:szCs w:val="24"/>
              </w:rPr>
              <w:t>评审</w:t>
            </w:r>
          </w:p>
          <w:p>
            <w:pPr>
              <w:spacing w:line="240" w:lineRule="exact"/>
              <w:jc w:val="center"/>
              <w:rPr>
                <w:rFonts w:ascii="宋体" w:hAnsi="宋体" w:eastAsia="宋体"/>
                <w:sz w:val="24"/>
                <w:szCs w:val="24"/>
              </w:rPr>
            </w:pPr>
            <w:r>
              <w:rPr>
                <w:rFonts w:hint="eastAsia" w:ascii="宋体" w:hAnsi="宋体" w:eastAsia="宋体" w:cs="宋体"/>
                <w:sz w:val="24"/>
                <w:szCs w:val="24"/>
              </w:rPr>
              <w:t>因素</w:t>
            </w:r>
          </w:p>
        </w:tc>
        <w:tc>
          <w:tcPr>
            <w:tcW w:w="917" w:type="dxa"/>
            <w:vAlign w:val="center"/>
          </w:tcPr>
          <w:p>
            <w:pPr>
              <w:spacing w:line="240" w:lineRule="exact"/>
              <w:ind w:right="-122" w:rightChars="-47"/>
              <w:jc w:val="center"/>
              <w:rPr>
                <w:rFonts w:ascii="宋体" w:hAnsi="宋体" w:eastAsia="宋体"/>
                <w:sz w:val="24"/>
                <w:szCs w:val="24"/>
              </w:rPr>
            </w:pPr>
            <w:r>
              <w:rPr>
                <w:rFonts w:hint="eastAsia" w:ascii="宋体" w:hAnsi="宋体" w:eastAsia="宋体" w:cs="宋体"/>
                <w:sz w:val="24"/>
                <w:szCs w:val="24"/>
              </w:rPr>
              <w:t>评分值</w:t>
            </w:r>
          </w:p>
        </w:tc>
        <w:tc>
          <w:tcPr>
            <w:tcW w:w="7115" w:type="dxa"/>
            <w:vAlign w:val="center"/>
          </w:tcPr>
          <w:p>
            <w:pPr>
              <w:spacing w:line="240" w:lineRule="exact"/>
              <w:jc w:val="center"/>
              <w:rPr>
                <w:rFonts w:ascii="宋体" w:hAnsi="宋体" w:eastAsia="宋体"/>
                <w:sz w:val="24"/>
                <w:szCs w:val="24"/>
              </w:rPr>
            </w:pPr>
            <w:r>
              <w:rPr>
                <w:rFonts w:hint="eastAsia" w:ascii="宋体" w:hAnsi="宋体" w:eastAsia="宋体" w:cs="宋体"/>
                <w:sz w:val="24"/>
                <w:szCs w:val="24"/>
              </w:rPr>
              <w:t>评审细则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916" w:type="dxa"/>
            <w:vMerge w:val="restart"/>
            <w:vAlign w:val="center"/>
          </w:tcPr>
          <w:p>
            <w:pPr>
              <w:ind w:firstLine="120" w:firstLineChars="50"/>
              <w:rPr>
                <w:rFonts w:ascii="宋体" w:hAnsi="宋体" w:eastAsia="宋体" w:cs="宋体"/>
                <w:sz w:val="24"/>
                <w:szCs w:val="24"/>
              </w:rPr>
            </w:pPr>
            <w:r>
              <w:rPr>
                <w:rFonts w:ascii="宋体" w:hAnsi="宋体" w:eastAsia="宋体" w:cs="宋体"/>
                <w:sz w:val="24"/>
                <w:szCs w:val="24"/>
              </w:rPr>
              <w:t>1</w:t>
            </w:r>
          </w:p>
        </w:tc>
        <w:tc>
          <w:tcPr>
            <w:tcW w:w="833" w:type="dxa"/>
            <w:vMerge w:val="restart"/>
            <w:vAlign w:val="center"/>
          </w:tcPr>
          <w:p>
            <w:pPr>
              <w:jc w:val="center"/>
              <w:rPr>
                <w:rFonts w:ascii="宋体" w:hAnsi="宋体" w:eastAsia="宋体"/>
                <w:sz w:val="24"/>
                <w:szCs w:val="24"/>
              </w:rPr>
            </w:pPr>
            <w:r>
              <w:rPr>
                <w:rFonts w:hint="eastAsia" w:ascii="宋体" w:hAnsi="宋体" w:eastAsia="宋体" w:cs="宋体"/>
                <w:sz w:val="24"/>
                <w:szCs w:val="24"/>
              </w:rPr>
              <w:t>磋商</w:t>
            </w:r>
          </w:p>
          <w:p>
            <w:pPr>
              <w:jc w:val="center"/>
              <w:rPr>
                <w:rFonts w:ascii="宋体" w:hAnsi="宋体" w:eastAsia="宋体"/>
                <w:sz w:val="24"/>
                <w:szCs w:val="24"/>
              </w:rPr>
            </w:pPr>
            <w:r>
              <w:rPr>
                <w:rFonts w:hint="eastAsia" w:ascii="宋体" w:hAnsi="宋体" w:eastAsia="宋体" w:cs="宋体"/>
                <w:sz w:val="24"/>
                <w:szCs w:val="24"/>
              </w:rPr>
              <w:t>报价</w:t>
            </w:r>
          </w:p>
        </w:tc>
        <w:tc>
          <w:tcPr>
            <w:tcW w:w="917" w:type="dxa"/>
            <w:vMerge w:val="restart"/>
            <w:vAlign w:val="center"/>
          </w:tcPr>
          <w:p>
            <w:pPr>
              <w:jc w:val="center"/>
              <w:rPr>
                <w:rFonts w:ascii="宋体" w:hAnsi="宋体" w:eastAsia="宋体"/>
                <w:sz w:val="24"/>
                <w:szCs w:val="24"/>
              </w:rPr>
            </w:pPr>
            <w:r>
              <w:rPr>
                <w:rFonts w:hint="eastAsia" w:ascii="宋体" w:hAnsi="宋体" w:eastAsia="宋体" w:cs="宋体"/>
                <w:sz w:val="24"/>
                <w:szCs w:val="24"/>
              </w:rPr>
              <w:t>3</w:t>
            </w:r>
            <w:r>
              <w:rPr>
                <w:rFonts w:ascii="宋体" w:hAnsi="宋体" w:eastAsia="宋体" w:cs="宋体"/>
                <w:sz w:val="24"/>
                <w:szCs w:val="24"/>
              </w:rPr>
              <w:t>0</w:t>
            </w:r>
            <w:r>
              <w:rPr>
                <w:rFonts w:hint="eastAsia" w:ascii="宋体" w:hAnsi="宋体" w:eastAsia="宋体" w:cs="宋体"/>
                <w:sz w:val="24"/>
                <w:szCs w:val="24"/>
              </w:rPr>
              <w:t>分</w:t>
            </w:r>
          </w:p>
        </w:tc>
        <w:tc>
          <w:tcPr>
            <w:tcW w:w="7115" w:type="dxa"/>
            <w:vAlign w:val="center"/>
          </w:tcPr>
          <w:p>
            <w:pPr>
              <w:rPr>
                <w:rFonts w:ascii="宋体" w:hAnsi="宋体" w:eastAsia="宋体"/>
                <w:sz w:val="24"/>
                <w:szCs w:val="24"/>
              </w:rPr>
            </w:pPr>
            <w:r>
              <w:rPr>
                <w:rFonts w:hint="eastAsia" w:ascii="宋体" w:hAnsi="宋体" w:eastAsia="宋体" w:cs="宋体"/>
                <w:sz w:val="24"/>
                <w:szCs w:val="24"/>
              </w:rPr>
              <w:t>综合评分法中的价格分统一采用低价优先法计算，即满足磋商文件要求且最后报价最低的供应商的价格为磋商基准价，其价格分为满分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916" w:type="dxa"/>
            <w:vMerge w:val="continue"/>
            <w:vAlign w:val="center"/>
          </w:tcPr>
          <w:p>
            <w:pPr>
              <w:ind w:firstLine="480" w:firstLineChars="200"/>
              <w:jc w:val="center"/>
              <w:rPr>
                <w:rFonts w:ascii="宋体" w:hAnsi="宋体" w:eastAsia="宋体"/>
                <w:sz w:val="24"/>
                <w:szCs w:val="24"/>
              </w:rPr>
            </w:pPr>
          </w:p>
        </w:tc>
        <w:tc>
          <w:tcPr>
            <w:tcW w:w="833" w:type="dxa"/>
            <w:vMerge w:val="continue"/>
            <w:vAlign w:val="center"/>
          </w:tcPr>
          <w:p>
            <w:pPr>
              <w:ind w:firstLine="480" w:firstLineChars="200"/>
              <w:jc w:val="center"/>
              <w:rPr>
                <w:rFonts w:ascii="宋体" w:hAnsi="宋体" w:eastAsia="宋体"/>
                <w:sz w:val="24"/>
                <w:szCs w:val="24"/>
              </w:rPr>
            </w:pPr>
          </w:p>
        </w:tc>
        <w:tc>
          <w:tcPr>
            <w:tcW w:w="917" w:type="dxa"/>
            <w:vMerge w:val="continue"/>
            <w:vAlign w:val="center"/>
          </w:tcPr>
          <w:p>
            <w:pPr>
              <w:ind w:firstLine="480" w:firstLineChars="200"/>
              <w:jc w:val="center"/>
              <w:rPr>
                <w:rFonts w:ascii="宋体" w:hAnsi="宋体" w:eastAsia="宋体"/>
                <w:sz w:val="24"/>
                <w:szCs w:val="24"/>
              </w:rPr>
            </w:pPr>
          </w:p>
        </w:tc>
        <w:tc>
          <w:tcPr>
            <w:tcW w:w="7115" w:type="dxa"/>
            <w:vAlign w:val="center"/>
          </w:tcPr>
          <w:p>
            <w:pPr>
              <w:rPr>
                <w:rFonts w:ascii="宋体" w:hAnsi="宋体" w:eastAsia="宋体" w:cs="宋体"/>
                <w:sz w:val="24"/>
                <w:szCs w:val="24"/>
              </w:rPr>
            </w:pPr>
            <w:r>
              <w:rPr>
                <w:rFonts w:hint="eastAsia" w:ascii="宋体" w:hAnsi="宋体" w:eastAsia="宋体" w:cs="宋体"/>
                <w:sz w:val="24"/>
                <w:szCs w:val="24"/>
              </w:rPr>
              <w:t>磋商报价得分</w:t>
            </w:r>
            <w:r>
              <w:rPr>
                <w:rFonts w:ascii="宋体" w:hAnsi="宋体" w:eastAsia="宋体" w:cs="宋体"/>
                <w:sz w:val="24"/>
                <w:szCs w:val="24"/>
              </w:rPr>
              <w:t>=</w:t>
            </w:r>
            <w:r>
              <w:rPr>
                <w:rFonts w:hint="eastAsia" w:ascii="宋体" w:hAnsi="宋体" w:eastAsia="宋体" w:cs="宋体"/>
                <w:sz w:val="24"/>
                <w:szCs w:val="24"/>
              </w:rPr>
              <w:t>（磋商基准价</w:t>
            </w:r>
            <w:r>
              <w:rPr>
                <w:rFonts w:ascii="宋体" w:hAnsi="宋体" w:eastAsia="宋体" w:cs="宋体"/>
                <w:sz w:val="24"/>
                <w:szCs w:val="24"/>
              </w:rPr>
              <w:t>/</w:t>
            </w:r>
            <w:r>
              <w:rPr>
                <w:rFonts w:hint="eastAsia" w:ascii="宋体" w:hAnsi="宋体" w:eastAsia="宋体" w:cs="宋体"/>
                <w:sz w:val="24"/>
                <w:szCs w:val="24"/>
              </w:rPr>
              <w:t>最后磋商报价）×价格权值×</w:t>
            </w:r>
            <w:r>
              <w:rPr>
                <w:rFonts w:ascii="宋体" w:hAnsi="宋体" w:eastAsia="宋体" w:cs="宋体"/>
                <w:sz w:val="24"/>
                <w:szCs w:val="24"/>
              </w:rPr>
              <w:t>100</w:t>
            </w:r>
          </w:p>
        </w:tc>
      </w:tr>
    </w:tbl>
    <w:p>
      <w:pPr>
        <w:snapToGrid w:val="0"/>
        <w:spacing w:line="420" w:lineRule="exact"/>
        <w:ind w:firstLine="484" w:firstLineChars="202"/>
        <w:outlineLvl w:val="3"/>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pPr>
        <w:snapToGrid w:val="0"/>
        <w:spacing w:line="420" w:lineRule="exact"/>
        <w:ind w:firstLine="484" w:firstLineChars="202"/>
        <w:outlineLvl w:val="3"/>
        <w:rPr>
          <w:rFonts w:ascii="宋体" w:hAnsi="宋体" w:eastAsia="宋体" w:cs="宋体"/>
          <w:sz w:val="24"/>
          <w:szCs w:val="24"/>
        </w:rPr>
      </w:pPr>
      <w:r>
        <w:rPr>
          <w:rFonts w:hint="eastAsia" w:ascii="宋体" w:hAnsi="宋体" w:eastAsia="宋体" w:cs="宋体"/>
          <w:sz w:val="24"/>
          <w:szCs w:val="24"/>
        </w:rPr>
        <w:t>4.对落标的磋商响应供应商不做落标原因的解释。</w:t>
      </w:r>
      <w:bookmarkEnd w:id="4"/>
    </w:p>
    <w:p>
      <w:pPr>
        <w:snapToGrid w:val="0"/>
        <w:spacing w:line="420" w:lineRule="exact"/>
        <w:ind w:firstLine="487" w:firstLineChars="202"/>
        <w:outlineLvl w:val="3"/>
        <w:rPr>
          <w:rFonts w:ascii="宋体" w:hAnsi="宋体" w:eastAsia="宋体"/>
          <w:b/>
          <w:bCs/>
          <w:sz w:val="24"/>
          <w:szCs w:val="24"/>
        </w:rPr>
      </w:pPr>
      <w:r>
        <w:rPr>
          <w:rFonts w:hint="eastAsia" w:ascii="宋体" w:hAnsi="宋体" w:eastAsia="宋体" w:cs="宋体"/>
          <w:b/>
          <w:bCs/>
          <w:sz w:val="24"/>
          <w:szCs w:val="24"/>
        </w:rPr>
        <w:t>六、出现下列情形之一的，作无效磋商处理</w:t>
      </w:r>
    </w:p>
    <w:p>
      <w:pPr>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磋商响应文件未按规定要求装订、密封、签署、盖章及资料不齐全的；</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磋商响应文件的资料有虚报或者谎报的；</w:t>
      </w:r>
    </w:p>
    <w:p>
      <w:pPr>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不具备磋商文件规定的资格要求的；</w:t>
      </w:r>
    </w:p>
    <w:p>
      <w:pPr>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磋商响应文件有重大漏项或重大不合理的；</w:t>
      </w:r>
    </w:p>
    <w:p>
      <w:pPr>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项目技术、方案不满足项目需求中的要求，有重大偏离或保留的；</w:t>
      </w:r>
    </w:p>
    <w:p>
      <w:pPr>
        <w:spacing w:line="420" w:lineRule="exact"/>
        <w:ind w:firstLine="484" w:firstLineChars="202"/>
        <w:rPr>
          <w:rFonts w:ascii="宋体" w:hAnsi="宋体" w:eastAsia="宋体"/>
          <w:sz w:val="24"/>
          <w:szCs w:val="24"/>
        </w:rPr>
      </w:pPr>
      <w:r>
        <w:rPr>
          <w:rFonts w:ascii="宋体" w:hAnsi="宋体" w:eastAsia="宋体" w:cs="宋体"/>
          <w:sz w:val="24"/>
          <w:szCs w:val="24"/>
        </w:rPr>
        <w:t>6.</w:t>
      </w:r>
      <w:r>
        <w:rPr>
          <w:rFonts w:hint="eastAsia" w:ascii="宋体" w:hAnsi="宋体" w:eastAsia="宋体" w:cs="宋体"/>
          <w:sz w:val="24"/>
          <w:szCs w:val="24"/>
        </w:rPr>
        <w:t>项目需求产品单价被认定为低于成本报价而磋商竞标的；</w:t>
      </w:r>
    </w:p>
    <w:p>
      <w:pPr>
        <w:spacing w:line="420" w:lineRule="exact"/>
        <w:ind w:firstLine="484" w:firstLineChars="202"/>
        <w:rPr>
          <w:rFonts w:ascii="宋体" w:hAnsi="宋体" w:eastAsia="宋体"/>
          <w:sz w:val="24"/>
          <w:szCs w:val="24"/>
        </w:rPr>
      </w:pPr>
      <w:r>
        <w:rPr>
          <w:rFonts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不符合法律、法规和竞争性磋商文件中规定的实质性响应要求的；</w:t>
      </w:r>
    </w:p>
    <w:p>
      <w:pPr>
        <w:spacing w:line="420" w:lineRule="exact"/>
        <w:ind w:firstLine="484" w:firstLineChars="202"/>
        <w:rPr>
          <w:rFonts w:ascii="宋体" w:hAnsi="宋体" w:eastAsia="宋体"/>
          <w:sz w:val="24"/>
          <w:szCs w:val="24"/>
        </w:rPr>
      </w:pPr>
      <w:r>
        <w:rPr>
          <w:rFonts w:ascii="宋体" w:hAnsi="宋体" w:eastAsia="宋体" w:cs="宋体"/>
          <w:sz w:val="24"/>
          <w:szCs w:val="24"/>
        </w:rPr>
        <w:t>8.</w:t>
      </w:r>
      <w:r>
        <w:rPr>
          <w:rFonts w:hint="eastAsia" w:ascii="宋体" w:hAnsi="宋体" w:eastAsia="宋体" w:cs="宋体"/>
          <w:sz w:val="24"/>
          <w:szCs w:val="24"/>
        </w:rPr>
        <w:t>磋商小组认定为其他情况可确定为无效投标的。</w:t>
      </w:r>
    </w:p>
    <w:p>
      <w:pPr>
        <w:snapToGrid w:val="0"/>
        <w:spacing w:line="420" w:lineRule="exact"/>
        <w:ind w:firstLine="482" w:firstLineChars="200"/>
        <w:outlineLvl w:val="1"/>
        <w:rPr>
          <w:rFonts w:ascii="宋体" w:hAnsi="宋体" w:eastAsia="宋体"/>
          <w:sz w:val="24"/>
          <w:szCs w:val="24"/>
        </w:rPr>
      </w:pPr>
      <w:r>
        <w:rPr>
          <w:rFonts w:hint="eastAsia" w:ascii="宋体" w:hAnsi="宋体" w:eastAsia="宋体" w:cs="宋体"/>
          <w:b/>
          <w:bCs/>
          <w:sz w:val="24"/>
          <w:szCs w:val="24"/>
        </w:rPr>
        <w:t>七、有下列情形之一的，视为磋商响应供应商串通竞标，其磋商无效</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不同磋商响应供应商的磋商响应文件由同一单位或者个人编制；</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不同磋商响应供应商委托同一单位或者个人办理磋商竞标事宜；</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不同磋商响应供应商的磋商响应文件载明的项目管理成员或者联系人员为同一人；</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不同磋商响应供应商的磋商响应文件异常一致或者首次、二次（最终）报价呈规律性差异；</w:t>
      </w:r>
    </w:p>
    <w:p>
      <w:pPr>
        <w:snapToGrid w:val="0"/>
        <w:spacing w:line="420" w:lineRule="exact"/>
        <w:ind w:firstLine="484" w:firstLineChars="202"/>
        <w:rPr>
          <w:rFonts w:ascii="宋体" w:hAnsi="宋体" w:eastAsia="宋体"/>
          <w:sz w:val="24"/>
          <w:szCs w:val="24"/>
        </w:rPr>
      </w:pPr>
      <w:r>
        <w:rPr>
          <w:rFonts w:ascii="宋体" w:hAnsi="宋体" w:eastAsia="宋体" w:cs="宋体"/>
          <w:sz w:val="24"/>
          <w:szCs w:val="24"/>
        </w:rPr>
        <w:t>5.</w:t>
      </w:r>
      <w:r>
        <w:rPr>
          <w:rFonts w:hint="eastAsia" w:ascii="宋体" w:hAnsi="宋体" w:eastAsia="宋体" w:cs="宋体"/>
          <w:sz w:val="24"/>
          <w:szCs w:val="24"/>
        </w:rPr>
        <w:t>不同磋商响应供应商的磋商响应文件相互混装。</w:t>
      </w:r>
    </w:p>
    <w:p>
      <w:pPr>
        <w:snapToGrid w:val="0"/>
        <w:spacing w:line="420" w:lineRule="exact"/>
        <w:ind w:firstLine="487" w:firstLineChars="202"/>
        <w:outlineLvl w:val="1"/>
        <w:rPr>
          <w:rFonts w:ascii="宋体" w:hAnsi="宋体" w:eastAsia="宋体" w:cs="宋体"/>
          <w:b/>
          <w:bCs/>
          <w:sz w:val="24"/>
          <w:szCs w:val="24"/>
        </w:rPr>
      </w:pPr>
      <w:r>
        <w:rPr>
          <w:rFonts w:hint="eastAsia" w:ascii="宋体" w:hAnsi="宋体" w:eastAsia="宋体" w:cs="宋体"/>
          <w:b/>
          <w:bCs/>
          <w:sz w:val="24"/>
          <w:szCs w:val="24"/>
        </w:rPr>
        <w:t>八、出现下列情形之一的，</w:t>
      </w:r>
      <w:r>
        <w:rPr>
          <w:rFonts w:hint="eastAsia" w:ascii="宋体" w:hAnsi="宋体" w:eastAsia="宋体" w:cs="宋体"/>
          <w:b/>
          <w:bCs/>
          <w:color w:val="000000"/>
          <w:spacing w:val="4"/>
          <w:sz w:val="24"/>
          <w:szCs w:val="24"/>
          <w:shd w:val="clear" w:color="auto" w:fill="FFFFFF"/>
        </w:rPr>
        <w:t>采购人应当终止竞争性磋商采购活动，发布项目终止公告并说明原因，重新开展采购活动：</w:t>
      </w:r>
    </w:p>
    <w:p>
      <w:pPr>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因情况变化，不再符合规定的竞争性磋商采购方式所适用情形的；</w:t>
      </w:r>
    </w:p>
    <w:p>
      <w:pPr>
        <w:spacing w:line="420" w:lineRule="exact"/>
        <w:ind w:firstLine="484" w:firstLineChars="202"/>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所有磋商响应供应商报价超出采购预算价的；</w:t>
      </w:r>
    </w:p>
    <w:p>
      <w:pPr>
        <w:spacing w:line="420" w:lineRule="exact"/>
        <w:ind w:firstLine="484" w:firstLineChars="202"/>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出现影响采购公正的违法、违规行为的；</w:t>
      </w:r>
    </w:p>
    <w:p>
      <w:pPr>
        <w:spacing w:line="420" w:lineRule="exact"/>
        <w:ind w:firstLine="484" w:firstLineChars="202"/>
        <w:rPr>
          <w:rFonts w:ascii="宋体" w:hAnsi="宋体" w:eastAsia="宋体"/>
          <w:sz w:val="24"/>
          <w:szCs w:val="24"/>
        </w:rPr>
      </w:pPr>
      <w:r>
        <w:rPr>
          <w:rFonts w:ascii="宋体" w:hAnsi="宋体" w:eastAsia="宋体" w:cs="宋体"/>
          <w:sz w:val="24"/>
          <w:szCs w:val="24"/>
        </w:rPr>
        <w:t>4.</w:t>
      </w:r>
      <w:r>
        <w:rPr>
          <w:rFonts w:hint="eastAsia" w:ascii="宋体" w:hAnsi="宋体" w:eastAsia="宋体" w:cs="宋体"/>
          <w:sz w:val="24"/>
          <w:szCs w:val="24"/>
        </w:rPr>
        <w:t>因重大变故，采购任务取消的。</w:t>
      </w:r>
    </w:p>
    <w:p>
      <w:pPr>
        <w:snapToGrid w:val="0"/>
        <w:spacing w:line="420" w:lineRule="exact"/>
        <w:ind w:firstLine="487" w:firstLineChars="202"/>
        <w:outlineLvl w:val="1"/>
        <w:rPr>
          <w:rFonts w:ascii="宋体" w:hAnsi="宋体" w:eastAsia="宋体"/>
          <w:b/>
          <w:bCs/>
          <w:sz w:val="24"/>
          <w:szCs w:val="24"/>
        </w:rPr>
      </w:pPr>
      <w:r>
        <w:rPr>
          <w:rFonts w:hint="eastAsia" w:ascii="宋体" w:hAnsi="宋体" w:eastAsia="宋体" w:cs="宋体"/>
          <w:b/>
          <w:bCs/>
          <w:sz w:val="24"/>
          <w:szCs w:val="24"/>
        </w:rPr>
        <w:t>九、成交通知</w:t>
      </w:r>
    </w:p>
    <w:p>
      <w:pPr>
        <w:spacing w:line="420" w:lineRule="exact"/>
        <w:ind w:firstLine="484" w:firstLineChars="202"/>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竞争性磋商结束后，</w:t>
      </w:r>
      <w:r>
        <w:rPr>
          <w:rFonts w:hint="eastAsia" w:ascii="宋体" w:hAnsi="宋体" w:eastAsia="宋体" w:cs="宋体"/>
          <w:color w:val="000000"/>
          <w:sz w:val="24"/>
          <w:szCs w:val="24"/>
        </w:rPr>
        <w:t>采购人</w:t>
      </w:r>
      <w:r>
        <w:rPr>
          <w:rFonts w:hint="eastAsia" w:ascii="宋体" w:hAnsi="宋体" w:eastAsia="宋体" w:cs="宋体"/>
          <w:sz w:val="24"/>
          <w:szCs w:val="24"/>
        </w:rPr>
        <w:t>将成交结果在指定媒体上发布，公告</w:t>
      </w:r>
      <w:r>
        <w:rPr>
          <w:rFonts w:ascii="宋体" w:hAnsi="宋体" w:eastAsia="宋体" w:cs="宋体"/>
          <w:sz w:val="24"/>
          <w:szCs w:val="24"/>
        </w:rPr>
        <w:t>1</w:t>
      </w:r>
      <w:r>
        <w:rPr>
          <w:rFonts w:hint="eastAsia" w:ascii="宋体" w:hAnsi="宋体" w:eastAsia="宋体" w:cs="宋体"/>
          <w:sz w:val="24"/>
          <w:szCs w:val="24"/>
        </w:rPr>
        <w:t>个工作日；</w:t>
      </w:r>
    </w:p>
    <w:p>
      <w:pPr>
        <w:spacing w:line="420" w:lineRule="exact"/>
        <w:ind w:firstLine="484" w:firstLineChars="202"/>
        <w:rPr>
          <w:rFonts w:hint="eastAsia" w:ascii="宋体" w:hAnsi="宋体" w:eastAsia="宋体"/>
          <w:sz w:val="24"/>
          <w:szCs w:val="24"/>
          <w:lang w:eastAsia="zh-CN"/>
        </w:rPr>
      </w:pPr>
      <w:r>
        <w:rPr>
          <w:rFonts w:ascii="宋体" w:hAnsi="宋体" w:eastAsia="宋体" w:cs="宋体"/>
          <w:sz w:val="24"/>
          <w:szCs w:val="24"/>
        </w:rPr>
        <w:t>2.</w:t>
      </w:r>
      <w:r>
        <w:rPr>
          <w:rFonts w:hint="eastAsia" w:ascii="宋体" w:hAnsi="宋体" w:eastAsia="宋体" w:cs="宋体"/>
          <w:sz w:val="24"/>
          <w:szCs w:val="24"/>
        </w:rPr>
        <w:t>成交结果公告的有效期限为</w:t>
      </w:r>
      <w:r>
        <w:rPr>
          <w:rFonts w:ascii="宋体" w:hAnsi="宋体" w:eastAsia="宋体" w:cs="宋体"/>
          <w:sz w:val="24"/>
          <w:szCs w:val="24"/>
        </w:rPr>
        <w:t>1</w:t>
      </w:r>
      <w:r>
        <w:rPr>
          <w:rFonts w:hint="eastAsia" w:ascii="宋体" w:hAnsi="宋体" w:eastAsia="宋体" w:cs="宋体"/>
          <w:sz w:val="24"/>
          <w:szCs w:val="24"/>
        </w:rPr>
        <w:t>个工作日，期限结束后向成交人发出《成交通知书》</w:t>
      </w:r>
      <w:r>
        <w:rPr>
          <w:rFonts w:hint="eastAsia" w:ascii="宋体" w:hAnsi="宋体" w:eastAsia="宋体" w:cs="宋体"/>
          <w:sz w:val="24"/>
          <w:szCs w:val="24"/>
          <w:lang w:eastAsia="zh-CN"/>
        </w:rPr>
        <w:t>；</w:t>
      </w:r>
    </w:p>
    <w:p>
      <w:pPr>
        <w:spacing w:line="420" w:lineRule="exact"/>
        <w:ind w:firstLine="484" w:firstLineChars="202"/>
        <w:rPr>
          <w:rFonts w:ascii="宋体" w:hAnsi="宋体" w:eastAsia="宋体"/>
          <w:b/>
          <w:bCs/>
          <w:sz w:val="24"/>
          <w:szCs w:val="24"/>
        </w:rPr>
      </w:pPr>
      <w:r>
        <w:rPr>
          <w:rFonts w:ascii="宋体" w:hAnsi="宋体" w:eastAsia="宋体" w:cs="宋体"/>
          <w:sz w:val="24"/>
          <w:szCs w:val="24"/>
        </w:rPr>
        <w:t>3.</w:t>
      </w:r>
      <w:r>
        <w:rPr>
          <w:rFonts w:hint="eastAsia" w:ascii="宋体" w:hAnsi="宋体" w:eastAsia="宋体" w:cs="宋体"/>
          <w:sz w:val="24"/>
          <w:szCs w:val="24"/>
        </w:rPr>
        <w:t>《成交通知书》一经发出，即具有法律效力。采购人、成交人依法承担法律责任。</w:t>
      </w:r>
    </w:p>
    <w:p/>
    <w:p/>
    <w:p/>
    <w:p/>
    <w:p/>
    <w:p/>
    <w:p/>
    <w:p>
      <w:pPr>
        <w:pStyle w:val="2"/>
      </w:pPr>
    </w:p>
    <w:p>
      <w:pPr>
        <w:pStyle w:val="2"/>
      </w:pPr>
    </w:p>
    <w:p>
      <w:pPr>
        <w:tabs>
          <w:tab w:val="left" w:pos="1050"/>
          <w:tab w:val="right" w:leader="dot" w:pos="9402"/>
        </w:tabs>
        <w:spacing w:beforeLines="100" w:line="600" w:lineRule="exact"/>
        <w:jc w:val="center"/>
        <w:outlineLvl w:val="0"/>
        <w:rPr>
          <w:rFonts w:ascii="宋体" w:hAnsi="宋体" w:eastAsia="宋体"/>
          <w:b/>
          <w:bCs/>
          <w:w w:val="80"/>
          <w:sz w:val="30"/>
          <w:szCs w:val="30"/>
        </w:rPr>
      </w:pPr>
      <w:r>
        <w:rPr>
          <w:rFonts w:hint="eastAsia" w:ascii="宋体" w:hAnsi="宋体" w:eastAsia="宋体" w:cs="宋体"/>
          <w:b/>
          <w:bCs/>
          <w:w w:val="80"/>
          <w:sz w:val="36"/>
          <w:szCs w:val="36"/>
        </w:rPr>
        <w:t>第五章</w:t>
      </w:r>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rPr>
        <w:t>合同授予</w:t>
      </w:r>
      <w:bookmarkStart w:id="5" w:name="_Toc94585343"/>
      <w:bookmarkStart w:id="6" w:name="_Toc363573858"/>
      <w:r>
        <w:rPr>
          <w:rFonts w:hint="eastAsia" w:ascii="宋体" w:hAnsi="宋体" w:eastAsia="宋体" w:cs="宋体"/>
          <w:b/>
          <w:bCs/>
          <w:w w:val="80"/>
          <w:sz w:val="36"/>
          <w:szCs w:val="36"/>
        </w:rPr>
        <w:t>及主要条款</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一、中标人在接到采购人发出送达的《成交通知书》后</w:t>
      </w:r>
      <w:r>
        <w:rPr>
          <w:rFonts w:ascii="宋体" w:hAnsi="宋体" w:eastAsia="宋体" w:cs="宋体"/>
          <w:kern w:val="0"/>
          <w:sz w:val="24"/>
          <w:szCs w:val="24"/>
        </w:rPr>
        <w:t>5</w:t>
      </w:r>
      <w:r>
        <w:rPr>
          <w:rFonts w:hint="eastAsia" w:ascii="宋体" w:hAnsi="宋体" w:eastAsia="宋体" w:cs="宋体"/>
          <w:kern w:val="0"/>
          <w:sz w:val="24"/>
          <w:szCs w:val="24"/>
        </w:rPr>
        <w:t>日内与采购人签订政府采购合同（一式肆份，采购人、成交人各执两份），所签合同不得对磋商文件作实质性修改，由此给采购人造成损失的，中标人还应承担赔偿责任。采购人不得向中标人提出不合理的要求作为签订合同的条件，不得与中标人私下订立背离谈判文件实质性内容的协议。</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二、磋商文件、中标人的磋商响应文件及磋商评审过程中有关书面澄清、承诺等均应作为合同附件，具有同等的法律效力。</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三、中标人不得采用转包、分包的形式履行合同，否则，采购人有权终止合同，造成采购人损失的，中标人应承担相应赔偿责任。</w:t>
      </w:r>
    </w:p>
    <w:p>
      <w:pPr>
        <w:snapToGrid w:val="0"/>
        <w:spacing w:line="420" w:lineRule="exact"/>
        <w:ind w:firstLine="484" w:firstLineChars="202"/>
        <w:outlineLvl w:val="1"/>
        <w:rPr>
          <w:rFonts w:ascii="宋体" w:hAnsi="宋体" w:eastAsia="宋体"/>
          <w:kern w:val="0"/>
          <w:sz w:val="24"/>
          <w:szCs w:val="24"/>
        </w:rPr>
      </w:pPr>
      <w:r>
        <w:rPr>
          <w:rFonts w:hint="eastAsia" w:ascii="宋体" w:hAnsi="宋体" w:eastAsia="宋体" w:cs="宋体"/>
          <w:kern w:val="0"/>
          <w:sz w:val="24"/>
          <w:szCs w:val="24"/>
        </w:rPr>
        <w:t>四、双方签订的合同中应明确规定双方应当严格遵守国家有关廉政建设的相关规定。</w:t>
      </w:r>
    </w:p>
    <w:p>
      <w:pPr>
        <w:snapToGrid w:val="0"/>
        <w:spacing w:line="420" w:lineRule="exact"/>
        <w:ind w:firstLine="487" w:firstLineChars="202"/>
        <w:outlineLvl w:val="1"/>
        <w:rPr>
          <w:rFonts w:ascii="宋体" w:hAnsi="宋体" w:eastAsia="宋体" w:cs="宋体"/>
          <w:b/>
          <w:bCs/>
          <w:kern w:val="0"/>
          <w:sz w:val="24"/>
          <w:szCs w:val="24"/>
        </w:rPr>
      </w:pPr>
      <w:bookmarkStart w:id="7" w:name="_Toc511059135"/>
    </w:p>
    <w:bookmarkEnd w:id="7"/>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p>
    <w:p>
      <w:pPr>
        <w:tabs>
          <w:tab w:val="left" w:pos="1050"/>
          <w:tab w:val="right" w:leader="dot" w:pos="9402"/>
        </w:tabs>
        <w:spacing w:beforeLines="100" w:line="600" w:lineRule="exact"/>
        <w:outlineLvl w:val="0"/>
        <w:rPr>
          <w:rFonts w:ascii="宋体" w:hAnsi="宋体" w:eastAsia="宋体"/>
          <w:b/>
          <w:bCs/>
          <w:w w:val="80"/>
          <w:sz w:val="36"/>
          <w:szCs w:val="36"/>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第六章</w:t>
      </w:r>
      <w:bookmarkEnd w:id="5"/>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rPr>
        <w:t>履约验收及付款</w:t>
      </w:r>
      <w:bookmarkEnd w:id="6"/>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一、采购人和成交人应相互配合，按采购合同约定积极组织本项目的实施，确保按时履约提供服务。</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二、履约完成后，成交人应以书面形式向采购人提出验收申请，采购人接到申请后应及时组织验收。</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三、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pPr>
        <w:spacing w:line="420" w:lineRule="exact"/>
        <w:ind w:firstLine="484" w:firstLineChars="202"/>
        <w:rPr>
          <w:rFonts w:ascii="宋体" w:hAnsi="宋体" w:eastAsia="宋体"/>
          <w:kern w:val="0"/>
          <w:sz w:val="24"/>
          <w:szCs w:val="24"/>
        </w:rPr>
      </w:pPr>
      <w:r>
        <w:rPr>
          <w:rFonts w:hint="eastAsia" w:ascii="宋体" w:hAnsi="宋体" w:eastAsia="宋体" w:cs="宋体"/>
          <w:kern w:val="0"/>
          <w:sz w:val="24"/>
          <w:szCs w:val="24"/>
        </w:rPr>
        <w:t>四、按采购合同约定的支付方式，及时支付服务款项。</w:t>
      </w:r>
    </w:p>
    <w:bookmarkEnd w:id="3"/>
    <w:p>
      <w:bookmarkStart w:id="8" w:name="_Toc363573859"/>
    </w:p>
    <w:p/>
    <w:p/>
    <w:p/>
    <w:p/>
    <w:p/>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pStyle w:val="2"/>
        <w:spacing w:before="120"/>
        <w:ind w:firstLine="600"/>
        <w:rPr>
          <w:rFonts w:cs="Times New Roman"/>
        </w:rPr>
      </w:pPr>
    </w:p>
    <w:p>
      <w:p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第七章</w:t>
      </w:r>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rPr>
        <w:t>质疑与投诉</w:t>
      </w:r>
      <w:bookmarkEnd w:id="8"/>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一、质疑的提出</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质疑必须是直接参加本次磋商活动的当事人。</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取得磋商文件的供应商应根据磋商文件第二章“供应商须知”中“第一条第</w:t>
      </w:r>
      <w:r>
        <w:rPr>
          <w:rFonts w:ascii="宋体" w:hAnsi="宋体" w:eastAsia="宋体" w:cs="宋体"/>
          <w:kern w:val="0"/>
          <w:sz w:val="24"/>
          <w:szCs w:val="24"/>
        </w:rPr>
        <w:t>4</w:t>
      </w:r>
      <w:r>
        <w:rPr>
          <w:rFonts w:hint="eastAsia" w:ascii="宋体" w:hAnsi="宋体" w:eastAsia="宋体" w:cs="宋体"/>
          <w:kern w:val="0"/>
          <w:sz w:val="24"/>
          <w:szCs w:val="24"/>
        </w:rPr>
        <w:t>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的权限。</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对本次磋商有质疑的，须实名制以书面形式提出，不得进行匿名、虚假、恶意质疑。</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对不能提供相关佐证材料的、涉及商业秘密的、非书面形式的、非送达的、匿名的《质疑函》作无效质疑处理，将不予受理。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相关佐证材料要具备客观性、关联性、合法性，无法查实的（如宣传册、媒体报道、猜测、推理等）不能作为佐证材料。</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采购人不负责搜集相关佐证材料等工作。</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二、《质疑函》的受理和回复</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《质疑函》须由质疑人的法定代表人或参加本次磋商的委托代理人送达采购人。</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对符合提出质疑要求的，采购人签收并出具《质疑受理通知书》并在</w:t>
      </w:r>
      <w:r>
        <w:rPr>
          <w:rFonts w:ascii="宋体" w:hAnsi="宋体" w:eastAsia="宋体" w:cs="宋体"/>
          <w:kern w:val="0"/>
          <w:sz w:val="24"/>
          <w:szCs w:val="24"/>
        </w:rPr>
        <w:t>7</w:t>
      </w:r>
      <w:r>
        <w:rPr>
          <w:rFonts w:hint="eastAsia" w:ascii="宋体" w:hAnsi="宋体"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对不符合提出质疑要求的《质疑函》，出具《质疑退回通知书》并提出相关补充材料要求，质疑人未在规定时间内提供补充佐证材料的，视同放弃质疑。</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采购人负责将质疑人提交的质疑相关材料提供给相关专家或评标小组审核，并将审核意见回复质疑人。</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因质疑情况复杂，组织论证或审查时间较长的，采购人以书面形式通知质疑人，可适当延长质疑回复处理时间。</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三、质疑处理</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质疑成立的处理。采购人终止采购，并建议监管部门给相关当事人予以处理。</w:t>
      </w:r>
    </w:p>
    <w:p>
      <w:pPr>
        <w:snapToGrid w:val="0"/>
        <w:spacing w:line="420" w:lineRule="exact"/>
        <w:ind w:firstLine="480" w:firstLineChars="200"/>
        <w:rPr>
          <w:rFonts w:ascii="宋体" w:hAnsi="宋体" w:eastAsia="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质疑不成立的处理：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）质疑人书面《申请撤回质疑函》。</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）质疑人在规定的时间内不配合进行质疑调查处理的，按自动撤回《质疑函》处理。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质疑人不能提供相关佐证材料的，采购人已指出，质疑人仍然坚持提出质疑的，质疑人虽提供了相关佐证材料，但不能证明其质疑成立的，采购人请质疑人补充相关佐证材料，仍不能证明其质疑成立的，建议相关监管部门将其列入失信名单。</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）对明显有违背事实的、经相关专家或评委认定无依据的、经其他供应商举证无依据的质疑，建议监管部门将其列入失信名单；同时，对其中每一项不成立的质疑，建议相关监管部门给予质疑人</w:t>
      </w:r>
      <w:r>
        <w:rPr>
          <w:rFonts w:ascii="宋体" w:hAnsi="宋体" w:eastAsia="宋体" w:cs="宋体"/>
          <w:kern w:val="0"/>
          <w:sz w:val="24"/>
          <w:szCs w:val="24"/>
        </w:rPr>
        <w:t>1</w:t>
      </w:r>
      <w:r>
        <w:rPr>
          <w:rFonts w:hint="eastAsia" w:ascii="宋体" w:hAnsi="宋体" w:eastAsia="宋体" w:cs="宋体"/>
          <w:kern w:val="0"/>
          <w:sz w:val="24"/>
          <w:szCs w:val="24"/>
        </w:rPr>
        <w:t>年内禁入政府采购活动的行政处罚，依此类推；视情在省、国家级相关媒体予以披露。</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）质疑人承担使用虚假材料或恶意方式质疑的法律责任。</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四、无佐证材料的举报的处理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供应商不得进行不提供相关佐证材料（含无法查实的如宣传册、媒体报道、猜测、推理等）而向有关部门的举报，否则建议相关监管部门对其实施在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年内禁入政府采购市场活动的行政处罚。</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五、投诉的提出</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质疑人对采购人的答复不满意或者采购人未在规定的时间内做出答复的，可以在答复期满后</w:t>
      </w:r>
      <w:r>
        <w:rPr>
          <w:rFonts w:ascii="宋体" w:hAnsi="宋体" w:eastAsia="宋体" w:cs="宋体"/>
          <w:kern w:val="0"/>
          <w:sz w:val="24"/>
          <w:szCs w:val="24"/>
        </w:rPr>
        <w:t>15</w:t>
      </w:r>
      <w:r>
        <w:rPr>
          <w:rFonts w:hint="eastAsia" w:ascii="宋体" w:hAnsi="宋体" w:eastAsia="宋体" w:cs="宋体"/>
          <w:kern w:val="0"/>
          <w:sz w:val="24"/>
          <w:szCs w:val="24"/>
        </w:rPr>
        <w:t>个工作日内向采购人单位的上级主管部门投诉。</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六、投诉不成立的处理</w:t>
      </w:r>
    </w:p>
    <w:p>
      <w:pPr>
        <w:snapToGrid w:val="0"/>
        <w:spacing w:line="420" w:lineRule="exact"/>
        <w:ind w:firstLine="480" w:firstLineChars="200"/>
        <w:rPr>
          <w:rFonts w:ascii="宋体" w:hAnsi="宋体" w:eastAsia="宋体"/>
          <w:kern w:val="0"/>
          <w:sz w:val="24"/>
          <w:szCs w:val="24"/>
        </w:rPr>
      </w:pPr>
      <w:r>
        <w:rPr>
          <w:rFonts w:hint="eastAsia" w:ascii="宋体" w:hAnsi="宋体" w:eastAsia="宋体" w:cs="宋体"/>
          <w:kern w:val="0"/>
          <w:sz w:val="24"/>
          <w:szCs w:val="24"/>
        </w:rPr>
        <w:t>供应商进行质疑后，采购人回复质疑不成立，质疑人仍进行投诉的，并最终投诉不成立的，上报并建议相关监管部门对其实施在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年内禁入政府采购活动市场的行政处罚，同时列入失信名单。</w:t>
      </w:r>
    </w:p>
    <w:p>
      <w:pPr>
        <w:snapToGrid w:val="0"/>
        <w:spacing w:line="420" w:lineRule="exact"/>
        <w:ind w:firstLine="482" w:firstLineChars="200"/>
        <w:outlineLvl w:val="1"/>
        <w:rPr>
          <w:rFonts w:ascii="宋体" w:hAnsi="宋体" w:eastAsia="宋体"/>
          <w:b/>
          <w:bCs/>
          <w:sz w:val="24"/>
          <w:szCs w:val="24"/>
        </w:rPr>
      </w:pPr>
      <w:r>
        <w:rPr>
          <w:rFonts w:hint="eastAsia" w:ascii="宋体" w:hAnsi="宋体" w:eastAsia="宋体" w:cs="宋体"/>
          <w:b/>
          <w:bCs/>
          <w:sz w:val="24"/>
          <w:szCs w:val="24"/>
        </w:rPr>
        <w:t>七、质疑、举报、投诉不成立的等相关情况</w:t>
      </w:r>
    </w:p>
    <w:p>
      <w:pPr>
        <w:snapToGrid w:val="0"/>
        <w:spacing w:line="420" w:lineRule="exact"/>
        <w:ind w:firstLine="480" w:firstLineChars="200"/>
        <w:rPr>
          <w:rFonts w:eastAsia="仿宋_GB2312"/>
          <w:kern w:val="0"/>
          <w:sz w:val="24"/>
          <w:szCs w:val="24"/>
        </w:rPr>
      </w:pPr>
      <w:r>
        <w:rPr>
          <w:rFonts w:hint="eastAsia" w:ascii="宋体" w:hAnsi="宋体" w:eastAsia="宋体" w:cs="宋体"/>
          <w:kern w:val="0"/>
          <w:sz w:val="24"/>
          <w:szCs w:val="24"/>
        </w:rPr>
        <w:t>《质疑函》、《质疑回复函》，质疑、举报、投诉不成立的等相关情况，视情在政府采购网、省、国家级等相关媒体予以披露。并建议政府采购相关监管部门对该供应商实施</w:t>
      </w:r>
      <w:r>
        <w:rPr>
          <w:rFonts w:ascii="宋体" w:hAnsi="宋体" w:eastAsia="宋体" w:cs="宋体"/>
          <w:kern w:val="0"/>
          <w:sz w:val="24"/>
          <w:szCs w:val="24"/>
        </w:rPr>
        <w:t>3</w:t>
      </w:r>
      <w:r>
        <w:rPr>
          <w:rFonts w:hint="eastAsia" w:ascii="宋体" w:hAnsi="宋体" w:eastAsia="宋体" w:cs="宋体"/>
          <w:kern w:val="0"/>
          <w:sz w:val="24"/>
          <w:szCs w:val="24"/>
        </w:rPr>
        <w:t>年内禁入政府采购活动市场的行政处罚，同时列入失信名单</w:t>
      </w:r>
      <w:r>
        <w:rPr>
          <w:rFonts w:hint="eastAsia" w:eastAsia="仿宋_GB2312" w:cs="仿宋_GB2312"/>
          <w:kern w:val="0"/>
          <w:sz w:val="24"/>
          <w:szCs w:val="24"/>
        </w:rPr>
        <w:t>。</w:t>
      </w: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snapToGrid w:val="0"/>
        <w:spacing w:line="420" w:lineRule="exact"/>
        <w:ind w:firstLine="480" w:firstLineChars="200"/>
        <w:rPr>
          <w:rFonts w:eastAsia="仿宋_GB2312"/>
          <w:kern w:val="0"/>
          <w:sz w:val="24"/>
          <w:szCs w:val="24"/>
        </w:rPr>
      </w:pPr>
    </w:p>
    <w:p>
      <w:pPr>
        <w:pStyle w:val="2"/>
        <w:spacing w:before="120"/>
        <w:ind w:firstLine="600"/>
      </w:pPr>
    </w:p>
    <w:p>
      <w:pPr>
        <w:numPr>
          <w:ilvl w:val="0"/>
          <w:numId w:val="3"/>
        </w:numPr>
        <w:tabs>
          <w:tab w:val="left" w:pos="1050"/>
          <w:tab w:val="right" w:leader="dot" w:pos="9402"/>
        </w:tabs>
        <w:spacing w:beforeLines="100" w:line="600" w:lineRule="exact"/>
        <w:jc w:val="center"/>
        <w:outlineLvl w:val="0"/>
        <w:rPr>
          <w:rFonts w:hint="eastAsia" w:ascii="宋体" w:hAnsi="宋体" w:eastAsia="宋体" w:cs="宋体"/>
          <w:b/>
          <w:bCs/>
          <w:w w:val="80"/>
          <w:sz w:val="36"/>
          <w:szCs w:val="36"/>
          <w:lang w:eastAsia="zh-CN"/>
        </w:rPr>
      </w:pPr>
      <w:r>
        <w:rPr>
          <w:rFonts w:hint="eastAsia" w:ascii="宋体" w:hAnsi="宋体" w:eastAsia="宋体" w:cs="宋体"/>
          <w:b/>
          <w:bCs/>
          <w:w w:val="80"/>
          <w:sz w:val="36"/>
          <w:szCs w:val="36"/>
          <w:lang w:val="en-US" w:eastAsia="zh-CN"/>
        </w:rPr>
        <w:t xml:space="preserve"> </w:t>
      </w:r>
      <w:r>
        <w:rPr>
          <w:rFonts w:hint="eastAsia" w:ascii="宋体" w:hAnsi="宋体" w:eastAsia="宋体" w:cs="宋体"/>
          <w:b/>
          <w:bCs/>
          <w:w w:val="80"/>
          <w:sz w:val="36"/>
          <w:szCs w:val="36"/>
          <w:lang w:eastAsia="zh-CN"/>
        </w:rPr>
        <w:t>资格审查文件的组成及格式</w:t>
      </w:r>
    </w:p>
    <w:p>
      <w:pPr>
        <w:adjustRightInd w:val="0"/>
        <w:snapToGrid w:val="0"/>
        <w:spacing w:line="420" w:lineRule="exact"/>
        <w:ind w:firstLine="566" w:firstLineChars="235"/>
        <w:outlineLvl w:val="2"/>
        <w:rPr>
          <w:rFonts w:ascii="宋体" w:hAnsi="宋体" w:eastAsia="宋体"/>
          <w:b/>
          <w:bCs/>
          <w:sz w:val="24"/>
          <w:szCs w:val="24"/>
        </w:rPr>
      </w:pPr>
      <w:r>
        <w:rPr>
          <w:rFonts w:hint="eastAsia" w:ascii="宋体" w:hAnsi="宋体" w:eastAsia="宋体" w:cs="宋体"/>
          <w:b/>
          <w:bCs/>
          <w:sz w:val="24"/>
          <w:szCs w:val="24"/>
        </w:rPr>
        <w:t>资格</w:t>
      </w:r>
      <w:r>
        <w:rPr>
          <w:rFonts w:hint="eastAsia" w:ascii="宋体" w:hAnsi="宋体" w:eastAsia="宋体" w:cs="宋体"/>
          <w:b/>
          <w:bCs/>
          <w:sz w:val="24"/>
          <w:szCs w:val="24"/>
          <w:lang w:eastAsia="zh-CN"/>
        </w:rPr>
        <w:t>审查</w:t>
      </w:r>
      <w:r>
        <w:rPr>
          <w:rFonts w:hint="eastAsia" w:ascii="宋体" w:hAnsi="宋体" w:eastAsia="宋体" w:cs="宋体"/>
          <w:b/>
          <w:bCs/>
          <w:sz w:val="24"/>
          <w:szCs w:val="24"/>
        </w:rPr>
        <w:t>材料文件</w:t>
      </w:r>
      <w:r>
        <w:rPr>
          <w:rFonts w:hint="eastAsia" w:ascii="宋体" w:hAnsi="宋体" w:eastAsia="宋体" w:cs="宋体"/>
          <w:b/>
          <w:bCs/>
          <w:sz w:val="24"/>
          <w:szCs w:val="24"/>
          <w:lang w:eastAsia="zh-CN"/>
        </w:rPr>
        <w:t>：</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adjustRightInd w:val="0"/>
        <w:snapToGrid w:val="0"/>
        <w:spacing w:line="420" w:lineRule="exact"/>
        <w:ind w:firstLine="480" w:firstLineChars="200"/>
        <w:jc w:val="left"/>
        <w:outlineLvl w:val="3"/>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、目录</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7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09" w:type="dxa"/>
            <w:vAlign w:val="center"/>
          </w:tcPr>
          <w:p>
            <w:pPr>
              <w:spacing w:line="420" w:lineRule="exact"/>
              <w:jc w:val="center"/>
              <w:rPr>
                <w:rFonts w:ascii="宋体" w:hAnsi="宋体" w:eastAsia="宋体"/>
                <w:sz w:val="24"/>
                <w:szCs w:val="24"/>
              </w:rPr>
            </w:pPr>
            <w:r>
              <w:rPr>
                <w:rFonts w:hint="eastAsia" w:ascii="宋体" w:hAnsi="宋体" w:eastAsia="宋体" w:cs="宋体"/>
                <w:kern w:val="0"/>
                <w:sz w:val="24"/>
                <w:szCs w:val="24"/>
              </w:rPr>
              <w:t>序号</w:t>
            </w:r>
          </w:p>
        </w:tc>
        <w:tc>
          <w:tcPr>
            <w:tcW w:w="7371" w:type="dxa"/>
            <w:vAlign w:val="center"/>
          </w:tcPr>
          <w:p>
            <w:pPr>
              <w:spacing w:line="420" w:lineRule="exact"/>
              <w:jc w:val="center"/>
              <w:rPr>
                <w:rFonts w:ascii="宋体" w:hAnsi="宋体" w:eastAsia="宋体"/>
                <w:sz w:val="24"/>
                <w:szCs w:val="24"/>
              </w:rPr>
            </w:pPr>
            <w:r>
              <w:rPr>
                <w:rFonts w:hint="eastAsia" w:ascii="宋体" w:hAnsi="宋体" w:eastAsia="宋体" w:cs="宋体"/>
                <w:kern w:val="0"/>
                <w:sz w:val="24"/>
                <w:szCs w:val="24"/>
              </w:rPr>
              <w:t>资格</w:t>
            </w:r>
            <w:r>
              <w:rPr>
                <w:rFonts w:hint="eastAsia" w:ascii="宋体" w:hAnsi="宋体" w:eastAsia="宋体" w:cs="宋体"/>
                <w:kern w:val="0"/>
                <w:sz w:val="24"/>
                <w:szCs w:val="24"/>
                <w:lang w:eastAsia="zh-CN"/>
              </w:rPr>
              <w:t>审查</w:t>
            </w:r>
            <w:r>
              <w:rPr>
                <w:rFonts w:hint="eastAsia" w:ascii="宋体" w:hAnsi="宋体" w:eastAsia="宋体" w:cs="宋体"/>
                <w:kern w:val="0"/>
                <w:sz w:val="24"/>
                <w:szCs w:val="24"/>
              </w:rPr>
              <w:t>资料提供清单表</w:t>
            </w:r>
          </w:p>
        </w:tc>
        <w:tc>
          <w:tcPr>
            <w:tcW w:w="1559" w:type="dxa"/>
            <w:vAlign w:val="center"/>
          </w:tcPr>
          <w:p>
            <w:pPr>
              <w:spacing w:line="420" w:lineRule="exact"/>
              <w:jc w:val="center"/>
              <w:rPr>
                <w:rFonts w:ascii="宋体" w:hAnsi="宋体" w:eastAsia="宋体"/>
                <w:sz w:val="24"/>
                <w:szCs w:val="24"/>
              </w:rPr>
            </w:pPr>
            <w:r>
              <w:rPr>
                <w:rFonts w:hint="eastAsia" w:ascii="宋体" w:hAnsi="宋体" w:eastAsia="宋体" w:cs="宋体"/>
                <w:kern w:val="0"/>
                <w:sz w:val="24"/>
                <w:szCs w:val="24"/>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09" w:type="dxa"/>
            <w:vAlign w:val="center"/>
          </w:tcPr>
          <w:p>
            <w:pPr>
              <w:spacing w:line="420" w:lineRule="exact"/>
              <w:jc w:val="center"/>
              <w:rPr>
                <w:rFonts w:ascii="宋体" w:hAnsi="宋体" w:eastAsia="宋体"/>
                <w:sz w:val="24"/>
                <w:szCs w:val="24"/>
              </w:rPr>
            </w:pPr>
            <w:r>
              <w:rPr>
                <w:rFonts w:ascii="宋体" w:hAnsi="宋体" w:eastAsia="宋体" w:cs="宋体"/>
                <w:kern w:val="0"/>
                <w:sz w:val="24"/>
                <w:szCs w:val="24"/>
              </w:rPr>
              <w:t>1</w:t>
            </w:r>
          </w:p>
        </w:tc>
        <w:tc>
          <w:tcPr>
            <w:tcW w:w="7371" w:type="dxa"/>
            <w:vAlign w:val="center"/>
          </w:tcPr>
          <w:p>
            <w:pPr>
              <w:spacing w:line="420" w:lineRule="exact"/>
              <w:rPr>
                <w:rFonts w:ascii="宋体" w:hAnsi="宋体" w:eastAsia="宋体"/>
                <w:kern w:val="0"/>
                <w:sz w:val="24"/>
                <w:szCs w:val="24"/>
              </w:rPr>
            </w:pPr>
            <w:r>
              <w:rPr>
                <w:rFonts w:hint="eastAsia" w:ascii="宋体" w:hAnsi="宋体" w:eastAsia="宋体" w:cs="宋体"/>
                <w:sz w:val="24"/>
                <w:szCs w:val="24"/>
              </w:rPr>
              <w:t>提供磋商响应供应商的《营业执照》原件的复印件，经营范围须包含标识标牌设计制作或广告设计制作安装（须加盖公章）。</w:t>
            </w:r>
          </w:p>
        </w:tc>
        <w:tc>
          <w:tcPr>
            <w:tcW w:w="1559" w:type="dxa"/>
            <w:vAlign w:val="center"/>
          </w:tcPr>
          <w:p>
            <w:pPr>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709" w:type="dxa"/>
            <w:vAlign w:val="center"/>
          </w:tcPr>
          <w:p>
            <w:pPr>
              <w:spacing w:line="420" w:lineRule="exact"/>
              <w:jc w:val="center"/>
              <w:rPr>
                <w:rFonts w:ascii="宋体" w:hAnsi="宋体" w:eastAsia="宋体"/>
                <w:sz w:val="24"/>
                <w:szCs w:val="24"/>
              </w:rPr>
            </w:pPr>
            <w:r>
              <w:rPr>
                <w:rFonts w:ascii="宋体" w:hAnsi="宋体" w:eastAsia="宋体" w:cs="宋体"/>
                <w:kern w:val="0"/>
                <w:sz w:val="24"/>
                <w:szCs w:val="24"/>
              </w:rPr>
              <w:t>2</w:t>
            </w:r>
          </w:p>
        </w:tc>
        <w:tc>
          <w:tcPr>
            <w:tcW w:w="7371" w:type="dxa"/>
            <w:vAlign w:val="center"/>
          </w:tcPr>
          <w:p>
            <w:pPr>
              <w:spacing w:line="420" w:lineRule="exact"/>
              <w:rPr>
                <w:rFonts w:ascii="宋体" w:hAnsi="宋体" w:eastAsia="宋体"/>
                <w:sz w:val="24"/>
                <w:szCs w:val="24"/>
              </w:rPr>
            </w:pPr>
            <w:r>
              <w:rPr>
                <w:rFonts w:hint="eastAsia" w:ascii="宋体" w:hAnsi="宋体" w:eastAsia="宋体" w:cs="宋体"/>
                <w:sz w:val="24"/>
                <w:szCs w:val="24"/>
              </w:rPr>
              <w:t>法定代表人参加磋商的，必须提供本人身份证原件的复印件（须加盖公章）；非法定代表人参加的，必须提供法定代表人签名或盖章的授权委托书、委托代理人身份证这</w:t>
            </w:r>
            <w:r>
              <w:rPr>
                <w:rFonts w:hint="eastAsia" w:ascii="宋体" w:hAnsi="宋体" w:eastAsia="宋体" w:cs="宋体"/>
                <w:sz w:val="24"/>
                <w:szCs w:val="24"/>
                <w:lang w:val="en-US" w:eastAsia="zh-CN"/>
              </w:rPr>
              <w:t>2</w:t>
            </w:r>
            <w:r>
              <w:rPr>
                <w:rFonts w:hint="eastAsia" w:ascii="宋体" w:hAnsi="宋体" w:eastAsia="宋体" w:cs="宋体"/>
                <w:sz w:val="24"/>
                <w:szCs w:val="24"/>
              </w:rPr>
              <w:t>项材料原件的复印件（须加盖公章）。</w:t>
            </w:r>
          </w:p>
        </w:tc>
        <w:tc>
          <w:tcPr>
            <w:tcW w:w="1559" w:type="dxa"/>
            <w:vAlign w:val="center"/>
          </w:tcPr>
          <w:p>
            <w:pPr>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09" w:type="dxa"/>
            <w:vAlign w:val="center"/>
          </w:tcPr>
          <w:p>
            <w:pPr>
              <w:spacing w:line="420" w:lineRule="exact"/>
              <w:jc w:val="center"/>
              <w:rPr>
                <w:rFonts w:ascii="宋体" w:hAnsi="宋体" w:eastAsia="宋体" w:cs="宋体"/>
                <w:sz w:val="24"/>
                <w:szCs w:val="24"/>
              </w:rPr>
            </w:pPr>
            <w:r>
              <w:rPr>
                <w:rFonts w:ascii="宋体" w:hAnsi="宋体" w:eastAsia="宋体" w:cs="宋体"/>
                <w:sz w:val="24"/>
                <w:szCs w:val="24"/>
              </w:rPr>
              <w:t>3</w:t>
            </w:r>
          </w:p>
        </w:tc>
        <w:tc>
          <w:tcPr>
            <w:tcW w:w="7371" w:type="dxa"/>
            <w:vAlign w:val="center"/>
          </w:tcPr>
          <w:p>
            <w:pPr>
              <w:spacing w:line="420" w:lineRule="exact"/>
              <w:rPr>
                <w:rFonts w:ascii="宋体" w:hAnsi="宋体" w:eastAsia="宋体"/>
                <w:sz w:val="24"/>
                <w:szCs w:val="24"/>
              </w:rPr>
            </w:pPr>
            <w:r>
              <w:rPr>
                <w:rFonts w:hint="eastAsia" w:ascii="宋体" w:hAnsi="宋体" w:eastAsia="宋体" w:cs="宋体"/>
                <w:sz w:val="24"/>
                <w:szCs w:val="24"/>
              </w:rPr>
              <w:t>磋商响应供应商须提供参与本次项目政府采购活动前三年内在经营活动中没有重大违法记录的书面《无重大违法记录声明函》（须加盖公章）。</w:t>
            </w:r>
          </w:p>
        </w:tc>
        <w:tc>
          <w:tcPr>
            <w:tcW w:w="1559" w:type="dxa"/>
            <w:vAlign w:val="center"/>
          </w:tcPr>
          <w:p>
            <w:pPr>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9" w:type="dxa"/>
            <w:vAlign w:val="center"/>
          </w:tcPr>
          <w:p>
            <w:pPr>
              <w:spacing w:line="420" w:lineRule="exact"/>
              <w:jc w:val="center"/>
              <w:rPr>
                <w:rFonts w:ascii="宋体" w:hAnsi="宋体" w:eastAsia="宋体" w:cs="宋体"/>
                <w:sz w:val="24"/>
                <w:szCs w:val="24"/>
              </w:rPr>
            </w:pPr>
            <w:r>
              <w:rPr>
                <w:rFonts w:ascii="宋体" w:hAnsi="宋体" w:eastAsia="宋体" w:cs="宋体"/>
                <w:sz w:val="24"/>
                <w:szCs w:val="24"/>
              </w:rPr>
              <w:t>4</w:t>
            </w:r>
          </w:p>
        </w:tc>
        <w:tc>
          <w:tcPr>
            <w:tcW w:w="7371" w:type="dxa"/>
            <w:vAlign w:val="center"/>
          </w:tcPr>
          <w:p>
            <w:pPr>
              <w:spacing w:line="420" w:lineRule="exact"/>
              <w:rPr>
                <w:rFonts w:ascii="宋体" w:hAnsi="宋体" w:eastAsia="宋体"/>
                <w:kern w:val="0"/>
                <w:sz w:val="24"/>
                <w:szCs w:val="24"/>
              </w:rPr>
            </w:pPr>
            <w:r>
              <w:rPr>
                <w:rFonts w:hint="eastAsia" w:ascii="宋体" w:hAnsi="宋体" w:eastAsia="宋体" w:cs="宋体"/>
                <w:sz w:val="24"/>
                <w:szCs w:val="24"/>
              </w:rPr>
              <w:t>磋商响应供应商还须提供</w:t>
            </w:r>
            <w:r>
              <w:rPr>
                <w:rFonts w:hint="eastAsia" w:ascii="宋体" w:hAnsi="宋体" w:eastAsia="宋体" w:cs="宋体"/>
                <w:sz w:val="24"/>
                <w:szCs w:val="24"/>
                <w:lang w:eastAsia="zh-CN"/>
              </w:rPr>
              <w:t>本章关于</w:t>
            </w:r>
            <w:r>
              <w:rPr>
                <w:rFonts w:hint="eastAsia" w:ascii="宋体" w:hAnsi="宋体" w:eastAsia="宋体" w:cs="宋体"/>
                <w:sz w:val="24"/>
                <w:szCs w:val="24"/>
              </w:rPr>
              <w:t>资格</w:t>
            </w:r>
            <w:r>
              <w:rPr>
                <w:rFonts w:hint="eastAsia" w:ascii="宋体" w:hAnsi="宋体" w:eastAsia="宋体" w:cs="宋体"/>
                <w:sz w:val="24"/>
                <w:szCs w:val="24"/>
                <w:lang w:eastAsia="zh-CN"/>
              </w:rPr>
              <w:t>审查</w:t>
            </w:r>
            <w:r>
              <w:rPr>
                <w:rFonts w:hint="eastAsia" w:ascii="宋体" w:hAnsi="宋体" w:eastAsia="宋体" w:cs="宋体"/>
                <w:sz w:val="24"/>
                <w:szCs w:val="24"/>
              </w:rPr>
              <w:t>材料相关</w:t>
            </w:r>
            <w:r>
              <w:rPr>
                <w:rFonts w:hint="eastAsia" w:ascii="宋体" w:hAnsi="宋体" w:eastAsia="宋体" w:cs="宋体"/>
                <w:sz w:val="24"/>
                <w:szCs w:val="24"/>
                <w:lang w:eastAsia="zh-CN"/>
              </w:rPr>
              <w:t>文件</w:t>
            </w:r>
            <w:r>
              <w:rPr>
                <w:rFonts w:hint="eastAsia" w:ascii="宋体" w:hAnsi="宋体" w:eastAsia="宋体" w:cs="宋体"/>
                <w:sz w:val="24"/>
                <w:szCs w:val="24"/>
              </w:rPr>
              <w:t>。</w:t>
            </w:r>
          </w:p>
        </w:tc>
        <w:tc>
          <w:tcPr>
            <w:tcW w:w="1559" w:type="dxa"/>
            <w:vAlign w:val="center"/>
          </w:tcPr>
          <w:p>
            <w:pPr>
              <w:spacing w:line="420" w:lineRule="exact"/>
              <w:rPr>
                <w:rFonts w:ascii="宋体" w:hAnsi="宋体" w:eastAsia="宋体"/>
                <w:sz w:val="24"/>
                <w:szCs w:val="24"/>
              </w:rPr>
            </w:pPr>
          </w:p>
        </w:tc>
      </w:tr>
    </w:tbl>
    <w:p>
      <w:pPr>
        <w:adjustRightInd w:val="0"/>
        <w:snapToGrid w:val="0"/>
        <w:spacing w:line="420" w:lineRule="exact"/>
        <w:rPr>
          <w:rFonts w:ascii="宋体" w:hAnsi="宋体" w:eastAsia="宋体"/>
          <w:sz w:val="24"/>
          <w:szCs w:val="24"/>
        </w:rPr>
      </w:pPr>
      <w:r>
        <w:rPr>
          <w:rFonts w:hint="eastAsia" w:ascii="宋体" w:hAnsi="宋体" w:eastAsia="宋体" w:cs="宋体"/>
          <w:sz w:val="24"/>
          <w:szCs w:val="24"/>
        </w:rPr>
        <w:t>供应商：（加盖供应商公章）</w:t>
      </w:r>
    </w:p>
    <w:p>
      <w:pPr>
        <w:adjustRightInd w:val="0"/>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法定代表人或委托代理人签字：</w:t>
      </w:r>
    </w:p>
    <w:p>
      <w:pPr>
        <w:adjustRightInd w:val="0"/>
        <w:snapToGrid w:val="0"/>
        <w:spacing w:line="420" w:lineRule="exact"/>
        <w:rPr>
          <w:rFonts w:ascii="宋体" w:hAnsi="宋体" w:eastAsia="宋体"/>
          <w:sz w:val="24"/>
          <w:szCs w:val="24"/>
        </w:rPr>
      </w:pPr>
      <w:r>
        <w:rPr>
          <w:rFonts w:hint="eastAsia" w:ascii="宋体" w:hAnsi="宋体" w:eastAsia="宋体" w:cs="宋体"/>
          <w:sz w:val="24"/>
          <w:szCs w:val="24"/>
        </w:rPr>
        <w:t>日期：</w:t>
      </w:r>
    </w:p>
    <w:p>
      <w:pPr>
        <w:adjustRightInd w:val="0"/>
        <w:snapToGrid w:val="0"/>
        <w:spacing w:line="420" w:lineRule="exact"/>
        <w:ind w:left="2" w:firstLine="482" w:firstLineChars="201"/>
        <w:rPr>
          <w:rFonts w:ascii="宋体" w:hAnsi="宋体" w:eastAsia="宋体"/>
          <w:sz w:val="24"/>
          <w:szCs w:val="24"/>
        </w:rPr>
      </w:pPr>
      <w:r>
        <w:rPr>
          <w:rFonts w:hint="eastAsia" w:ascii="宋体" w:hAnsi="宋体" w:eastAsia="宋体" w:cs="宋体"/>
          <w:sz w:val="24"/>
          <w:szCs w:val="24"/>
        </w:rPr>
        <w:t>注：</w:t>
      </w:r>
    </w:p>
    <w:p>
      <w:pPr>
        <w:adjustRightInd w:val="0"/>
        <w:snapToGrid w:val="0"/>
        <w:spacing w:line="420" w:lineRule="exact"/>
        <w:ind w:left="2" w:firstLine="482" w:firstLineChars="201"/>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）以上由供应商填写，作为提供的“资格</w:t>
      </w:r>
      <w:r>
        <w:rPr>
          <w:rFonts w:hint="eastAsia" w:ascii="宋体" w:hAnsi="宋体" w:eastAsia="宋体" w:cs="宋体"/>
          <w:sz w:val="24"/>
          <w:szCs w:val="24"/>
          <w:lang w:eastAsia="zh-CN"/>
        </w:rPr>
        <w:t>审查</w:t>
      </w:r>
      <w:r>
        <w:rPr>
          <w:rFonts w:hint="eastAsia" w:ascii="宋体" w:hAnsi="宋体" w:eastAsia="宋体" w:cs="宋体"/>
          <w:sz w:val="24"/>
          <w:szCs w:val="24"/>
        </w:rPr>
        <w:t>材料</w:t>
      </w:r>
      <w:r>
        <w:rPr>
          <w:rFonts w:hint="eastAsia" w:ascii="宋体" w:hAnsi="宋体" w:eastAsia="宋体" w:cs="宋体"/>
          <w:sz w:val="24"/>
          <w:szCs w:val="24"/>
          <w:lang w:eastAsia="zh-CN"/>
        </w:rPr>
        <w:t>相关</w:t>
      </w:r>
      <w:r>
        <w:rPr>
          <w:rFonts w:hint="eastAsia" w:ascii="宋体" w:hAnsi="宋体" w:eastAsia="宋体" w:cs="宋体"/>
          <w:sz w:val="24"/>
          <w:szCs w:val="24"/>
        </w:rPr>
        <w:t>文件”内的资料首页清单目录。</w:t>
      </w:r>
    </w:p>
    <w:p>
      <w:pPr>
        <w:adjustRightInd w:val="0"/>
        <w:snapToGrid w:val="0"/>
        <w:spacing w:line="420" w:lineRule="exact"/>
        <w:ind w:left="2" w:firstLine="482" w:firstLineChars="201"/>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）所有资格证明复印件、相关的格式文件及表格，须加盖公章装订成册，正本</w:t>
      </w:r>
      <w:r>
        <w:rPr>
          <w:rFonts w:ascii="宋体" w:hAnsi="宋体" w:eastAsia="宋体" w:cs="宋体"/>
          <w:sz w:val="24"/>
          <w:szCs w:val="24"/>
        </w:rPr>
        <w:t>1</w:t>
      </w:r>
      <w:r>
        <w:rPr>
          <w:rFonts w:hint="eastAsia" w:ascii="宋体" w:hAnsi="宋体" w:eastAsia="宋体" w:cs="宋体"/>
          <w:sz w:val="24"/>
          <w:szCs w:val="24"/>
        </w:rPr>
        <w:t>份副本</w:t>
      </w:r>
      <w:r>
        <w:rPr>
          <w:rFonts w:ascii="宋体" w:hAnsi="宋体" w:eastAsia="宋体" w:cs="宋体"/>
          <w:sz w:val="24"/>
          <w:szCs w:val="24"/>
        </w:rPr>
        <w:t>2</w:t>
      </w:r>
      <w:r>
        <w:rPr>
          <w:rFonts w:hint="eastAsia" w:ascii="宋体" w:hAnsi="宋体" w:eastAsia="宋体" w:cs="宋体"/>
          <w:sz w:val="24"/>
          <w:szCs w:val="24"/>
        </w:rPr>
        <w:t>份，供审查及留存！</w:t>
      </w: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left="2" w:firstLine="482" w:firstLineChars="201"/>
        <w:rPr>
          <w:rFonts w:ascii="黑体" w:hAnsi="黑体" w:eastAsia="黑体"/>
          <w:sz w:val="24"/>
          <w:szCs w:val="24"/>
        </w:rPr>
      </w:pPr>
    </w:p>
    <w:p>
      <w:pPr>
        <w:adjustRightInd w:val="0"/>
        <w:snapToGrid w:val="0"/>
        <w:spacing w:line="420" w:lineRule="exact"/>
        <w:ind w:firstLine="424" w:firstLineChars="176"/>
        <w:outlineLvl w:val="3"/>
        <w:rPr>
          <w:rFonts w:ascii="宋体" w:hAnsi="宋体" w:eastAsia="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、资格</w:t>
      </w:r>
      <w:r>
        <w:rPr>
          <w:rFonts w:hint="eastAsia" w:ascii="宋体" w:hAnsi="宋体" w:eastAsia="宋体" w:cs="宋体"/>
          <w:b/>
          <w:bCs/>
          <w:sz w:val="24"/>
          <w:szCs w:val="24"/>
          <w:lang w:eastAsia="zh-CN"/>
        </w:rPr>
        <w:t>审查</w:t>
      </w:r>
      <w:r>
        <w:rPr>
          <w:rFonts w:hint="eastAsia" w:ascii="宋体" w:hAnsi="宋体" w:eastAsia="宋体" w:cs="宋体"/>
          <w:b/>
          <w:bCs/>
          <w:sz w:val="24"/>
          <w:szCs w:val="24"/>
        </w:rPr>
        <w:t>材料相关格式文件</w:t>
      </w:r>
    </w:p>
    <w:p>
      <w:pPr>
        <w:snapToGrid w:val="0"/>
        <w:spacing w:line="420" w:lineRule="exact"/>
        <w:jc w:val="center"/>
        <w:outlineLvl w:val="4"/>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法定代表人身份证明</w:t>
      </w:r>
    </w:p>
    <w:p>
      <w:pPr>
        <w:snapToGrid w:val="0"/>
        <w:spacing w:line="420" w:lineRule="exact"/>
        <w:rPr>
          <w:rFonts w:ascii="宋体" w:hAnsi="宋体" w:eastAsia="宋体"/>
          <w:sz w:val="24"/>
          <w:szCs w:val="24"/>
        </w:rPr>
      </w:pPr>
      <w:r>
        <w:rPr>
          <w:rFonts w:hint="eastAsia" w:ascii="宋体" w:hAnsi="宋体" w:eastAsia="宋体" w:cs="宋体"/>
          <w:sz w:val="24"/>
          <w:szCs w:val="24"/>
        </w:rPr>
        <w:t>南通市人力资源服务中心：</w:t>
      </w:r>
    </w:p>
    <w:p>
      <w:pPr>
        <w:snapToGrid w:val="0"/>
        <w:spacing w:line="420" w:lineRule="exact"/>
        <w:ind w:firstLine="480" w:firstLineChars="200"/>
        <w:jc w:val="both"/>
        <w:rPr>
          <w:rFonts w:ascii="宋体" w:hAnsi="宋体" w:eastAsia="宋体"/>
          <w:sz w:val="24"/>
          <w:szCs w:val="24"/>
        </w:rPr>
      </w:pPr>
      <w:r>
        <w:rPr>
          <w:rFonts w:hint="eastAsia" w:ascii="宋体" w:hAnsi="宋体" w:eastAsia="宋体" w:cs="宋体"/>
          <w:sz w:val="24"/>
          <w:szCs w:val="24"/>
          <w:u w:val="single"/>
        </w:rPr>
        <w:t>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pPr>
        <w:snapToGrid w:val="0"/>
        <w:spacing w:line="420" w:lineRule="exact"/>
        <w:ind w:firstLine="480" w:firstLineChars="200"/>
        <w:jc w:val="left"/>
        <w:rPr>
          <w:rFonts w:ascii="宋体" w:hAnsi="宋体" w:eastAsia="宋体"/>
          <w:sz w:val="24"/>
          <w:szCs w:val="24"/>
          <w:u w:val="single"/>
        </w:rPr>
      </w:pPr>
      <w:r>
        <w:rPr>
          <w:rFonts w:hint="eastAsia" w:ascii="宋体" w:hAnsi="宋体" w:eastAsia="宋体" w:cs="宋体"/>
          <w:sz w:val="24"/>
          <w:szCs w:val="24"/>
        </w:rPr>
        <w:t>身份证号码：</w:t>
      </w:r>
    </w:p>
    <w:p>
      <w:pPr>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供应商（盖章）</w:t>
      </w:r>
    </w:p>
    <w:p>
      <w:pPr>
        <w:wordWrap w:val="0"/>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年   月  日</w:t>
      </w:r>
    </w:p>
    <w:p>
      <w:pPr>
        <w:snapToGrid w:val="0"/>
        <w:spacing w:line="420" w:lineRule="exact"/>
        <w:ind w:firstLine="484" w:firstLineChars="202"/>
        <w:jc w:val="right"/>
        <w:rPr>
          <w:rFonts w:ascii="宋体" w:hAnsi="宋体" w:eastAsia="宋体"/>
          <w:sz w:val="24"/>
          <w:szCs w:val="24"/>
        </w:rPr>
      </w:pPr>
    </w:p>
    <w:p>
      <w:pPr>
        <w:snapToGrid w:val="0"/>
        <w:spacing w:line="420" w:lineRule="exact"/>
        <w:jc w:val="center"/>
        <w:rPr>
          <w:rFonts w:ascii="宋体" w:hAnsi="宋体" w:eastAsia="宋体"/>
          <w:sz w:val="24"/>
          <w:szCs w:val="24"/>
        </w:rPr>
      </w:pPr>
      <w:r>
        <w:rPr>
          <w:rFonts w:hint="eastAsia" w:ascii="宋体" w:hAnsi="宋体" w:eastAsia="宋体" w:cs="宋体"/>
          <w:sz w:val="24"/>
          <w:szCs w:val="24"/>
        </w:rPr>
        <w:t>注：提供法定代表人的身份证复印件并加盖公章</w:t>
      </w:r>
    </w:p>
    <w:p>
      <w:pPr>
        <w:snapToGrid w:val="0"/>
        <w:spacing w:line="420" w:lineRule="exact"/>
        <w:jc w:val="center"/>
        <w:rPr>
          <w:rFonts w:ascii="宋体" w:hAnsi="宋体" w:eastAsia="宋体"/>
          <w:sz w:val="24"/>
          <w:szCs w:val="24"/>
        </w:rPr>
      </w:pPr>
    </w:p>
    <w:p>
      <w:pPr>
        <w:snapToGrid w:val="0"/>
        <w:spacing w:line="420" w:lineRule="exact"/>
        <w:jc w:val="center"/>
        <w:outlineLvl w:val="4"/>
        <w:rPr>
          <w:rFonts w:ascii="宋体" w:hAnsi="宋体" w:eastAsia="宋体"/>
          <w:b/>
          <w:bCs/>
          <w:sz w:val="24"/>
          <w:szCs w:val="24"/>
        </w:rPr>
      </w:pPr>
      <w:r>
        <w:rPr>
          <w:rFonts w:ascii="宋体" w:hAnsi="宋体" w:eastAsia="宋体" w:cs="宋体"/>
          <w:b/>
          <w:bCs/>
          <w:sz w:val="24"/>
          <w:szCs w:val="24"/>
        </w:rPr>
        <w:t>2.</w:t>
      </w:r>
      <w:r>
        <w:rPr>
          <w:rFonts w:hint="eastAsia" w:ascii="宋体" w:hAnsi="宋体" w:eastAsia="宋体" w:cs="宋体"/>
          <w:b/>
          <w:bCs/>
          <w:sz w:val="24"/>
          <w:szCs w:val="24"/>
        </w:rPr>
        <w:t>法定代表人授权委托书</w:t>
      </w:r>
    </w:p>
    <w:p>
      <w:pPr>
        <w:snapToGrid w:val="0"/>
        <w:spacing w:line="420" w:lineRule="exact"/>
        <w:rPr>
          <w:rFonts w:ascii="宋体" w:hAnsi="宋体" w:eastAsia="宋体"/>
          <w:sz w:val="24"/>
          <w:szCs w:val="24"/>
        </w:rPr>
      </w:pPr>
      <w:r>
        <w:rPr>
          <w:rFonts w:hint="eastAsia" w:ascii="宋体" w:hAnsi="宋体" w:eastAsia="宋体" w:cs="宋体"/>
          <w:sz w:val="24"/>
          <w:szCs w:val="24"/>
        </w:rPr>
        <w:t>南通市人力资源服务中心：</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w:t>
      </w:r>
      <w:r>
        <w:rPr>
          <w:rFonts w:hint="eastAsia" w:ascii="宋体" w:hAnsi="宋体" w:eastAsia="宋体" w:cs="宋体"/>
          <w:sz w:val="24"/>
          <w:szCs w:val="24"/>
        </w:rPr>
        <w:t>（姓名）系</w:t>
      </w:r>
      <w:r>
        <w:rPr>
          <w:rFonts w:hint="eastAsia" w:ascii="宋体" w:hAnsi="宋体" w:eastAsia="宋体" w:cs="宋体"/>
          <w:sz w:val="24"/>
          <w:szCs w:val="24"/>
          <w:u w:val="single"/>
        </w:rPr>
        <w:t>　　　</w:t>
      </w:r>
      <w:r>
        <w:rPr>
          <w:rFonts w:hint="eastAsia" w:ascii="宋体" w:hAnsi="宋体" w:eastAsia="宋体" w:cs="宋体"/>
          <w:sz w:val="24"/>
          <w:szCs w:val="24"/>
        </w:rPr>
        <w:t>（供应商名称）的法定代表人，现授权委托</w:t>
      </w:r>
      <w:r>
        <w:rPr>
          <w:rFonts w:hint="eastAsia" w:ascii="宋体" w:hAnsi="宋体" w:eastAsia="宋体" w:cs="宋体"/>
          <w:sz w:val="24"/>
          <w:szCs w:val="24"/>
          <w:u w:val="single"/>
        </w:rPr>
        <w:t>　　</w:t>
      </w:r>
      <w:r>
        <w:rPr>
          <w:rFonts w:hint="eastAsia" w:ascii="宋体" w:hAnsi="宋体" w:eastAsia="宋体" w:cs="宋体"/>
          <w:sz w:val="24"/>
          <w:szCs w:val="24"/>
        </w:rPr>
        <w:t>（姓名）为我公司为代理人，以本公司的名义参加本项目的磋商响应活动。被委托受权人在开标、评标、合同谈判过程中所签署的一切文件和处理与之有关的一切事务，我及我公司均予以承认。</w:t>
      </w:r>
    </w:p>
    <w:p>
      <w:pPr>
        <w:snapToGrid w:val="0"/>
        <w:spacing w:line="420" w:lineRule="exact"/>
        <w:ind w:firstLine="484" w:firstLineChars="202"/>
        <w:rPr>
          <w:rFonts w:ascii="宋体" w:hAnsi="宋体" w:eastAsia="宋体"/>
          <w:sz w:val="24"/>
          <w:szCs w:val="24"/>
        </w:rPr>
      </w:pPr>
      <w:r>
        <w:rPr>
          <w:rFonts w:hint="eastAsia" w:ascii="宋体" w:hAnsi="宋体" w:eastAsia="宋体" w:cs="宋体"/>
          <w:sz w:val="24"/>
          <w:szCs w:val="24"/>
        </w:rPr>
        <w:t>委托代理人无转委权。特此委托。</w:t>
      </w:r>
    </w:p>
    <w:p>
      <w:pPr>
        <w:snapToGrid w:val="0"/>
        <w:spacing w:line="420" w:lineRule="exact"/>
        <w:ind w:firstLine="972" w:firstLineChars="405"/>
        <w:rPr>
          <w:rFonts w:ascii="宋体" w:hAnsi="宋体" w:eastAsia="宋体"/>
          <w:sz w:val="24"/>
          <w:szCs w:val="24"/>
        </w:rPr>
      </w:pPr>
    </w:p>
    <w:p>
      <w:pPr>
        <w:snapToGrid w:val="0"/>
        <w:spacing w:line="420" w:lineRule="exact"/>
        <w:ind w:firstLine="972" w:firstLineChars="405"/>
        <w:rPr>
          <w:rFonts w:ascii="宋体" w:hAnsi="宋体" w:eastAsia="宋体"/>
          <w:sz w:val="24"/>
          <w:szCs w:val="24"/>
        </w:rPr>
      </w:pPr>
      <w:r>
        <w:rPr>
          <w:rFonts w:hint="eastAsia" w:ascii="宋体" w:hAnsi="宋体" w:eastAsia="宋体" w:cs="宋体"/>
          <w:sz w:val="24"/>
          <w:szCs w:val="24"/>
        </w:rPr>
        <w:t>法定代表人签字：</w:t>
      </w:r>
    </w:p>
    <w:p>
      <w:pPr>
        <w:snapToGrid w:val="0"/>
        <w:spacing w:line="420" w:lineRule="exact"/>
        <w:ind w:firstLine="972" w:firstLineChars="405"/>
        <w:rPr>
          <w:rFonts w:ascii="宋体" w:hAnsi="宋体" w:eastAsia="宋体"/>
          <w:sz w:val="24"/>
          <w:szCs w:val="24"/>
        </w:rPr>
      </w:pPr>
      <w:r>
        <w:rPr>
          <w:rFonts w:hint="eastAsia" w:ascii="宋体" w:hAnsi="宋体" w:eastAsia="宋体" w:cs="宋体"/>
          <w:sz w:val="24"/>
          <w:szCs w:val="24"/>
        </w:rPr>
        <w:t>委托代理人身份证号：</w:t>
      </w:r>
    </w:p>
    <w:p>
      <w:pPr>
        <w:snapToGrid w:val="0"/>
        <w:spacing w:line="420" w:lineRule="exact"/>
        <w:ind w:firstLine="972" w:firstLineChars="405"/>
        <w:rPr>
          <w:rFonts w:ascii="宋体" w:hAnsi="宋体" w:eastAsia="宋体"/>
          <w:sz w:val="24"/>
          <w:szCs w:val="24"/>
        </w:rPr>
      </w:pPr>
      <w:r>
        <w:rPr>
          <w:rFonts w:hint="eastAsia" w:ascii="宋体" w:hAnsi="宋体" w:eastAsia="宋体" w:cs="宋体"/>
          <w:sz w:val="24"/>
          <w:szCs w:val="24"/>
        </w:rPr>
        <w:t>委托代理人签字：</w:t>
      </w:r>
    </w:p>
    <w:p>
      <w:pPr>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供应商（盖章）</w:t>
      </w:r>
    </w:p>
    <w:p>
      <w:pPr>
        <w:wordWrap w:val="0"/>
        <w:snapToGrid w:val="0"/>
        <w:spacing w:line="420" w:lineRule="exact"/>
        <w:ind w:firstLine="484" w:firstLineChars="202"/>
        <w:jc w:val="right"/>
        <w:rPr>
          <w:rFonts w:ascii="宋体" w:hAnsi="宋体" w:eastAsia="宋体"/>
          <w:sz w:val="24"/>
          <w:szCs w:val="24"/>
        </w:rPr>
      </w:pPr>
      <w:r>
        <w:rPr>
          <w:rFonts w:hint="eastAsia" w:ascii="宋体" w:hAnsi="宋体" w:eastAsia="宋体" w:cs="宋体"/>
          <w:sz w:val="24"/>
          <w:szCs w:val="24"/>
        </w:rPr>
        <w:t>年   月  日</w:t>
      </w:r>
    </w:p>
    <w:p>
      <w:pPr>
        <w:snapToGrid w:val="0"/>
        <w:spacing w:line="420" w:lineRule="exact"/>
        <w:ind w:firstLine="484" w:firstLineChars="202"/>
        <w:jc w:val="right"/>
        <w:rPr>
          <w:rFonts w:ascii="宋体" w:hAnsi="宋体" w:eastAsia="宋体"/>
          <w:sz w:val="24"/>
          <w:szCs w:val="24"/>
        </w:rPr>
      </w:pPr>
    </w:p>
    <w:p>
      <w:pPr>
        <w:snapToGrid w:val="0"/>
        <w:spacing w:line="420" w:lineRule="exact"/>
        <w:ind w:firstLine="321" w:firstLineChars="134"/>
        <w:jc w:val="center"/>
        <w:rPr>
          <w:rFonts w:ascii="宋体" w:hAnsi="宋体" w:eastAsia="宋体"/>
          <w:sz w:val="24"/>
          <w:szCs w:val="24"/>
        </w:rPr>
      </w:pPr>
      <w:r>
        <w:rPr>
          <w:rFonts w:hint="eastAsia" w:ascii="宋体" w:hAnsi="宋体" w:eastAsia="宋体" w:cs="宋体"/>
          <w:sz w:val="24"/>
          <w:szCs w:val="24"/>
        </w:rPr>
        <w:t>注：提供委托代理人的身份证复印件盖公章，将身份证原件带至开标现场备查</w:t>
      </w:r>
    </w:p>
    <w:p>
      <w:pPr>
        <w:snapToGrid w:val="0"/>
        <w:spacing w:line="420" w:lineRule="exact"/>
        <w:ind w:firstLine="321" w:firstLineChars="134"/>
        <w:jc w:val="center"/>
        <w:rPr>
          <w:rFonts w:ascii="宋体" w:hAnsi="宋体" w:eastAsia="宋体"/>
          <w:sz w:val="24"/>
          <w:szCs w:val="24"/>
        </w:rPr>
      </w:pPr>
    </w:p>
    <w:p>
      <w:pPr>
        <w:snapToGrid w:val="0"/>
        <w:spacing w:line="420" w:lineRule="exact"/>
        <w:jc w:val="center"/>
        <w:outlineLvl w:val="4"/>
        <w:rPr>
          <w:rFonts w:ascii="宋体" w:hAnsi="宋体" w:eastAsia="宋体"/>
          <w:b/>
          <w:bCs/>
          <w:sz w:val="24"/>
          <w:szCs w:val="24"/>
        </w:rPr>
      </w:pPr>
      <w:r>
        <w:rPr>
          <w:rFonts w:ascii="宋体" w:hAnsi="宋体" w:eastAsia="宋体" w:cs="宋体"/>
          <w:b/>
          <w:bCs/>
          <w:sz w:val="24"/>
          <w:szCs w:val="24"/>
        </w:rPr>
        <w:t>3.</w:t>
      </w:r>
      <w:r>
        <w:rPr>
          <w:rFonts w:hint="eastAsia" w:ascii="宋体" w:hAnsi="宋体" w:eastAsia="宋体" w:cs="宋体"/>
          <w:b/>
          <w:bCs/>
          <w:sz w:val="24"/>
          <w:szCs w:val="24"/>
        </w:rPr>
        <w:t>无重大违法记录声明</w:t>
      </w:r>
    </w:p>
    <w:p>
      <w:pPr>
        <w:snapToGrid w:val="0"/>
        <w:spacing w:line="420" w:lineRule="exact"/>
        <w:rPr>
          <w:rFonts w:ascii="宋体" w:hAnsi="宋体" w:eastAsia="宋体"/>
          <w:sz w:val="24"/>
          <w:szCs w:val="24"/>
        </w:rPr>
      </w:pPr>
      <w:r>
        <w:rPr>
          <w:rFonts w:hint="eastAsia" w:ascii="宋体" w:hAnsi="宋体" w:eastAsia="宋体" w:cs="宋体"/>
          <w:sz w:val="24"/>
          <w:szCs w:val="24"/>
        </w:rPr>
        <w:t>南通市人力资源服务中心：</w:t>
      </w:r>
    </w:p>
    <w:p>
      <w:pPr>
        <w:spacing w:line="420" w:lineRule="exact"/>
        <w:rPr>
          <w:rFonts w:ascii="宋体" w:hAnsi="宋体" w:eastAsia="宋体"/>
          <w:sz w:val="24"/>
          <w:szCs w:val="24"/>
        </w:rPr>
      </w:pPr>
      <w:r>
        <w:rPr>
          <w:rFonts w:hint="eastAsia" w:ascii="宋体" w:hAnsi="宋体" w:eastAsia="宋体" w:cs="宋体"/>
          <w:sz w:val="24"/>
          <w:szCs w:val="24"/>
        </w:rPr>
        <w:t>我单位（供应商名称）郑重声明：</w:t>
      </w:r>
    </w:p>
    <w:p>
      <w:pPr>
        <w:spacing w:line="420" w:lineRule="exact"/>
        <w:rPr>
          <w:rFonts w:ascii="宋体" w:hAnsi="宋体" w:eastAsia="宋体"/>
          <w:sz w:val="24"/>
          <w:szCs w:val="24"/>
        </w:rPr>
      </w:pPr>
      <w:r>
        <w:rPr>
          <w:rFonts w:hint="eastAsia" w:ascii="宋体" w:hAnsi="宋体" w:eastAsia="宋体" w:cs="宋体"/>
          <w:sz w:val="24"/>
          <w:szCs w:val="24"/>
        </w:rPr>
        <w:t>参加政府采购活动前</w:t>
      </w:r>
      <w:r>
        <w:rPr>
          <w:rFonts w:ascii="宋体" w:hAnsi="宋体" w:eastAsia="宋体" w:cs="宋体"/>
          <w:sz w:val="24"/>
          <w:szCs w:val="24"/>
        </w:rPr>
        <w:t>3</w:t>
      </w:r>
      <w:r>
        <w:rPr>
          <w:rFonts w:hint="eastAsia" w:ascii="宋体" w:hAnsi="宋体" w:eastAsia="宋体" w:cs="宋体"/>
          <w:sz w:val="24"/>
          <w:szCs w:val="24"/>
        </w:rPr>
        <w:t>年内在经营活动中</w:t>
      </w:r>
      <w:r>
        <w:rPr>
          <w:rFonts w:hint="eastAsia" w:ascii="宋体" w:hAnsi="宋体" w:eastAsia="宋体" w:cs="宋体"/>
          <w:sz w:val="24"/>
          <w:szCs w:val="24"/>
          <w:u w:val="single"/>
        </w:rPr>
        <w:t>（在下划线上如实填写：有或没有）</w:t>
      </w:r>
      <w:r>
        <w:rPr>
          <w:rFonts w:hint="eastAsia" w:ascii="宋体" w:hAnsi="宋体" w:eastAsia="宋体" w:cs="宋体"/>
          <w:sz w:val="24"/>
          <w:szCs w:val="24"/>
        </w:rPr>
        <w:t>重大违法记录。</w:t>
      </w:r>
    </w:p>
    <w:p>
      <w:pPr>
        <w:spacing w:line="420" w:lineRule="exact"/>
        <w:ind w:firstLine="480"/>
        <w:rPr>
          <w:rFonts w:ascii="宋体" w:hAnsi="宋体" w:eastAsia="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hAnsi="宋体" w:eastAsia="宋体"/>
          <w:sz w:val="24"/>
          <w:szCs w:val="24"/>
        </w:rPr>
      </w:pPr>
      <w:r>
        <w:rPr>
          <w:rFonts w:hint="eastAsia" w:ascii="宋体" w:hAnsi="宋体" w:eastAsia="宋体" w:cs="宋体"/>
          <w:sz w:val="24"/>
          <w:szCs w:val="24"/>
        </w:rPr>
        <w:t>声明人：（公章）</w:t>
      </w:r>
    </w:p>
    <w:p>
      <w:pPr>
        <w:wordWrap w:val="0"/>
        <w:spacing w:line="420" w:lineRule="exact"/>
        <w:jc w:val="right"/>
        <w:rPr>
          <w:rFonts w:ascii="宋体" w:hAnsi="宋体" w:eastAsia="宋体"/>
          <w:sz w:val="24"/>
          <w:szCs w:val="24"/>
        </w:rPr>
      </w:pPr>
      <w:r>
        <w:rPr>
          <w:rFonts w:hint="eastAsia" w:ascii="宋体" w:hAnsi="宋体" w:eastAsia="宋体" w:cs="宋体"/>
          <w:sz w:val="24"/>
          <w:szCs w:val="24"/>
        </w:rPr>
        <w:t>年  月  日</w:t>
      </w:r>
    </w:p>
    <w:p>
      <w:pPr>
        <w:snapToGrid w:val="0"/>
        <w:spacing w:line="420" w:lineRule="exact"/>
        <w:jc w:val="center"/>
        <w:outlineLvl w:val="4"/>
        <w:rPr>
          <w:rFonts w:ascii="宋体" w:hAnsi="宋体" w:eastAsia="宋体" w:cs="宋体"/>
          <w:b/>
          <w:bCs/>
          <w:sz w:val="24"/>
          <w:szCs w:val="24"/>
        </w:rPr>
      </w:pPr>
    </w:p>
    <w:p>
      <w:pPr>
        <w:snapToGrid w:val="0"/>
        <w:spacing w:line="420" w:lineRule="exact"/>
        <w:jc w:val="center"/>
        <w:outlineLvl w:val="4"/>
        <w:rPr>
          <w:rFonts w:ascii="宋体" w:hAnsi="宋体" w:eastAsia="宋体"/>
          <w:sz w:val="24"/>
          <w:szCs w:val="24"/>
        </w:rPr>
      </w:pPr>
      <w:r>
        <w:rPr>
          <w:rFonts w:ascii="宋体" w:hAnsi="宋体" w:eastAsia="宋体" w:cs="宋体"/>
          <w:b/>
          <w:bCs/>
          <w:sz w:val="24"/>
          <w:szCs w:val="24"/>
        </w:rPr>
        <w:t>4.</w:t>
      </w:r>
      <w:r>
        <w:rPr>
          <w:rFonts w:hint="eastAsia" w:ascii="宋体" w:hAnsi="宋体" w:eastAsia="宋体" w:cs="宋体"/>
          <w:b/>
          <w:bCs/>
          <w:sz w:val="24"/>
          <w:szCs w:val="24"/>
        </w:rPr>
        <w:t>关于资格文件的声明函</w:t>
      </w:r>
    </w:p>
    <w:p>
      <w:pPr>
        <w:snapToGrid w:val="0"/>
        <w:spacing w:line="420" w:lineRule="exact"/>
        <w:rPr>
          <w:rFonts w:ascii="宋体" w:hAnsi="宋体" w:eastAsia="宋体"/>
          <w:sz w:val="24"/>
          <w:szCs w:val="24"/>
        </w:rPr>
      </w:pPr>
      <w:r>
        <w:rPr>
          <w:rFonts w:hint="eastAsia" w:ascii="宋体" w:hAnsi="宋体" w:eastAsia="宋体" w:cs="宋体"/>
          <w:sz w:val="24"/>
          <w:szCs w:val="24"/>
        </w:rPr>
        <w:t>南通市人力资源服务中心：</w:t>
      </w:r>
    </w:p>
    <w:p>
      <w:pPr>
        <w:overflowPunct w:val="0"/>
        <w:adjustRightInd w:val="0"/>
        <w:spacing w:line="420" w:lineRule="exact"/>
        <w:ind w:firstLine="480" w:firstLineChars="200"/>
        <w:jc w:val="left"/>
        <w:textAlignment w:val="baseline"/>
        <w:rPr>
          <w:rFonts w:ascii="宋体" w:hAnsi="宋体" w:eastAsia="宋体"/>
          <w:sz w:val="24"/>
          <w:szCs w:val="24"/>
        </w:rPr>
      </w:pPr>
      <w:r>
        <w:rPr>
          <w:rFonts w:hint="eastAsia" w:ascii="宋体" w:hAnsi="宋体" w:eastAsia="宋体" w:cs="宋体"/>
          <w:sz w:val="24"/>
          <w:szCs w:val="24"/>
        </w:rPr>
        <w:t>本公司愿就由贵单位组织实施的的磋商活动进行投标。本公司所提交的磋商响应文件中所有关于投标资格的文件、证明和陈述均是真实的、准确的。若与真实情况不符，本公司愿意承担由此而产生的一切后果。</w:t>
      </w:r>
    </w:p>
    <w:p>
      <w:pPr>
        <w:overflowPunct w:val="0"/>
        <w:adjustRightInd w:val="0"/>
        <w:spacing w:line="420" w:lineRule="exact"/>
        <w:ind w:firstLine="420"/>
        <w:jc w:val="right"/>
        <w:textAlignment w:val="baseline"/>
        <w:rPr>
          <w:rFonts w:ascii="宋体" w:hAnsi="宋体" w:eastAsia="宋体"/>
          <w:sz w:val="24"/>
          <w:szCs w:val="24"/>
        </w:rPr>
      </w:pPr>
      <w:r>
        <w:rPr>
          <w:rFonts w:hint="eastAsia" w:ascii="宋体" w:hAnsi="宋体" w:eastAsia="宋体" w:cs="宋体"/>
          <w:sz w:val="24"/>
          <w:szCs w:val="24"/>
        </w:rPr>
        <w:t>（供应商）法定代表人或委托代理人（签字或盖章）：</w:t>
      </w:r>
    </w:p>
    <w:p>
      <w:pPr>
        <w:overflowPunct w:val="0"/>
        <w:adjustRightInd w:val="0"/>
        <w:spacing w:line="420" w:lineRule="exact"/>
        <w:ind w:firstLine="4080" w:firstLineChars="1700"/>
        <w:jc w:val="left"/>
        <w:textAlignment w:val="baseline"/>
        <w:rPr>
          <w:rFonts w:ascii="宋体" w:hAnsi="宋体" w:eastAsia="宋体"/>
          <w:sz w:val="24"/>
          <w:szCs w:val="24"/>
        </w:rPr>
      </w:pPr>
      <w:r>
        <w:rPr>
          <w:rFonts w:hint="eastAsia" w:ascii="宋体" w:hAnsi="宋体" w:eastAsia="宋体" w:cs="宋体"/>
          <w:sz w:val="24"/>
          <w:szCs w:val="24"/>
        </w:rPr>
        <w:t>（供应商）公章：</w:t>
      </w:r>
    </w:p>
    <w:p>
      <w:pPr>
        <w:wordWrap w:val="0"/>
        <w:overflowPunct w:val="0"/>
        <w:adjustRightInd w:val="0"/>
        <w:spacing w:line="420" w:lineRule="exact"/>
        <w:ind w:firstLine="420"/>
        <w:jc w:val="right"/>
        <w:textAlignment w:val="baseline"/>
        <w:rPr>
          <w:rFonts w:ascii="宋体" w:hAnsi="宋体" w:eastAsia="宋体"/>
          <w:sz w:val="24"/>
          <w:szCs w:val="24"/>
        </w:rPr>
      </w:pPr>
      <w:r>
        <w:rPr>
          <w:rFonts w:hint="eastAsia" w:ascii="宋体" w:hAnsi="宋体" w:eastAsia="宋体" w:cs="宋体"/>
          <w:sz w:val="24"/>
          <w:szCs w:val="24"/>
        </w:rPr>
        <w:t>年</w:t>
      </w:r>
      <w:r>
        <w:rPr>
          <w:rFonts w:ascii="宋体" w:hAnsi="宋体" w:eastAsia="宋体"/>
          <w:sz w:val="24"/>
          <w:szCs w:val="24"/>
        </w:rPr>
        <w:tab/>
      </w:r>
      <w:r>
        <w:rPr>
          <w:rFonts w:hint="eastAsia" w:ascii="宋体" w:hAnsi="宋体" w:eastAsia="宋体" w:cs="宋体"/>
          <w:sz w:val="24"/>
          <w:szCs w:val="24"/>
        </w:rPr>
        <w:t>月  日</w:t>
      </w:r>
    </w:p>
    <w:p>
      <w:pPr>
        <w:overflowPunct w:val="0"/>
        <w:adjustRightInd w:val="0"/>
        <w:spacing w:line="420" w:lineRule="exact"/>
        <w:ind w:firstLine="420"/>
        <w:jc w:val="right"/>
        <w:textAlignment w:val="baseline"/>
        <w:rPr>
          <w:rFonts w:ascii="宋体" w:hAnsi="宋体" w:eastAsia="宋体"/>
          <w:sz w:val="24"/>
          <w:szCs w:val="24"/>
        </w:rPr>
      </w:pPr>
    </w:p>
    <w:p>
      <w:pPr>
        <w:snapToGrid w:val="0"/>
        <w:spacing w:line="420" w:lineRule="exact"/>
        <w:jc w:val="center"/>
        <w:outlineLvl w:val="4"/>
        <w:rPr>
          <w:rFonts w:hint="eastAsia" w:ascii="宋体" w:hAnsi="宋体" w:eastAsia="宋体"/>
          <w:b/>
          <w:bCs/>
          <w:sz w:val="24"/>
          <w:szCs w:val="24"/>
          <w:lang w:eastAsia="zh-CN"/>
        </w:rPr>
      </w:pPr>
      <w:r>
        <w:rPr>
          <w:rFonts w:ascii="宋体" w:hAnsi="宋体" w:eastAsia="宋体" w:cs="宋体"/>
          <w:b/>
          <w:bCs/>
          <w:sz w:val="24"/>
          <w:szCs w:val="24"/>
        </w:rPr>
        <w:t>5.</w:t>
      </w:r>
      <w:r>
        <w:rPr>
          <w:rFonts w:hint="eastAsia" w:ascii="宋体" w:hAnsi="宋体" w:eastAsia="宋体" w:cs="宋体"/>
          <w:b/>
          <w:bCs/>
          <w:sz w:val="24"/>
          <w:szCs w:val="24"/>
          <w:lang w:eastAsia="zh-CN"/>
        </w:rPr>
        <w:t>磋商响应</w:t>
      </w:r>
      <w:r>
        <w:rPr>
          <w:rFonts w:hint="eastAsia" w:ascii="宋体" w:hAnsi="宋体" w:eastAsia="宋体" w:cs="宋体"/>
          <w:b/>
          <w:bCs/>
          <w:sz w:val="24"/>
          <w:szCs w:val="24"/>
        </w:rPr>
        <w:t>供应商一般情况</w:t>
      </w:r>
      <w:r>
        <w:rPr>
          <w:rFonts w:hint="eastAsia" w:ascii="宋体" w:hAnsi="宋体" w:eastAsia="宋体" w:cs="宋体"/>
          <w:b/>
          <w:bCs/>
          <w:sz w:val="24"/>
          <w:szCs w:val="24"/>
          <w:lang w:eastAsia="zh-CN"/>
        </w:rPr>
        <w:t>表</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402"/>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当地分支机构地址：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w:t>
            </w:r>
          </w:p>
        </w:tc>
        <w:tc>
          <w:tcPr>
            <w:tcW w:w="3402" w:type="dxa"/>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电话：</w:t>
            </w:r>
          </w:p>
        </w:tc>
        <w:tc>
          <w:tcPr>
            <w:tcW w:w="5103"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p>
        </w:tc>
        <w:tc>
          <w:tcPr>
            <w:tcW w:w="3402" w:type="dxa"/>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传真：</w:t>
            </w:r>
          </w:p>
        </w:tc>
        <w:tc>
          <w:tcPr>
            <w:tcW w:w="5103"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w:t>
            </w:r>
          </w:p>
        </w:tc>
        <w:tc>
          <w:tcPr>
            <w:tcW w:w="3402" w:type="dxa"/>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注册地：</w:t>
            </w:r>
          </w:p>
        </w:tc>
        <w:tc>
          <w:tcPr>
            <w:tcW w:w="5103"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公司资质等级证书号（如有，请附有关证书的复印件）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公司</w:t>
            </w:r>
            <w:r>
              <w:rPr>
                <w:rFonts w:hint="eastAsia" w:ascii="宋体" w:hAnsi="宋体" w:eastAsia="宋体" w:cs="宋体"/>
                <w:sz w:val="24"/>
                <w:szCs w:val="24"/>
                <w:u w:val="single"/>
              </w:rPr>
              <w:t>（是否通过，何种）</w:t>
            </w:r>
            <w:r>
              <w:rPr>
                <w:rFonts w:hint="eastAsia" w:ascii="宋体" w:hAnsi="宋体" w:eastAsia="宋体" w:cs="宋体"/>
                <w:sz w:val="24"/>
                <w:szCs w:val="24"/>
              </w:rPr>
              <w:t>质量保证体系认证（如通过请附相关证书复印件，没有请忽略该项）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经营范围：</w:t>
            </w:r>
          </w:p>
          <w:p>
            <w:pPr>
              <w:tabs>
                <w:tab w:val="left" w:pos="993"/>
              </w:tabs>
              <w:spacing w:line="420" w:lineRule="exact"/>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w:t>
            </w:r>
          </w:p>
          <w:p>
            <w:pPr>
              <w:tabs>
                <w:tab w:val="left" w:pos="993"/>
              </w:tabs>
              <w:spacing w:line="420" w:lineRule="exact"/>
              <w:rPr>
                <w:rFonts w:ascii="宋体" w:hAnsi="宋体" w:eastAsia="宋体"/>
                <w:sz w:val="24"/>
                <w:szCs w:val="24"/>
              </w:rPr>
            </w:pPr>
            <w:r>
              <w:rPr>
                <w:rFonts w:ascii="宋体" w:hAnsi="宋体" w:eastAsia="宋体" w:cs="宋体"/>
                <w:sz w:val="24"/>
                <w:szCs w:val="24"/>
              </w:rPr>
              <w:t>2</w:t>
            </w:r>
            <w:r>
              <w:rPr>
                <w:rFonts w:hint="eastAsia" w:ascii="宋体" w:hAnsi="宋体" w:eastAsia="宋体" w:cs="宋体"/>
                <w:sz w:val="24"/>
                <w:szCs w:val="24"/>
              </w:rPr>
              <w:t>、；</w:t>
            </w:r>
          </w:p>
          <w:p>
            <w:pPr>
              <w:tabs>
                <w:tab w:val="left" w:pos="993"/>
              </w:tabs>
              <w:spacing w:line="420" w:lineRule="exact"/>
              <w:rPr>
                <w:rFonts w:ascii="宋体" w:hAnsi="宋体" w:eastAsia="宋体"/>
                <w:sz w:val="24"/>
                <w:szCs w:val="24"/>
              </w:rPr>
            </w:pPr>
            <w:r>
              <w:rPr>
                <w:rFonts w:ascii="宋体" w:hAnsi="宋体" w:eastAsia="宋体" w:cs="宋体"/>
                <w:sz w:val="24"/>
                <w:szCs w:val="24"/>
              </w:rPr>
              <w:t>3</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w:t>
            </w:r>
          </w:p>
        </w:tc>
        <w:tc>
          <w:tcPr>
            <w:tcW w:w="4111" w:type="dxa"/>
            <w:gridSpan w:val="2"/>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供应商从事类似磋商项目的年数</w:t>
            </w:r>
          </w:p>
        </w:tc>
        <w:tc>
          <w:tcPr>
            <w:tcW w:w="4394" w:type="dxa"/>
            <w:vAlign w:val="center"/>
          </w:tcPr>
          <w:p>
            <w:pPr>
              <w:tabs>
                <w:tab w:val="left" w:pos="993"/>
              </w:tabs>
              <w:spacing w:line="42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92" w:type="dxa"/>
            <w:vAlign w:val="center"/>
          </w:tcPr>
          <w:p>
            <w:pPr>
              <w:tabs>
                <w:tab w:val="left" w:pos="993"/>
              </w:tabs>
              <w:spacing w:line="420" w:lineRule="exact"/>
              <w:jc w:val="center"/>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11</w:t>
            </w:r>
            <w:r>
              <w:rPr>
                <w:rFonts w:hint="eastAsia" w:ascii="宋体" w:hAnsi="宋体" w:eastAsia="宋体" w:cs="宋体"/>
                <w:sz w:val="24"/>
                <w:szCs w:val="24"/>
              </w:rPr>
              <w:t>）</w:t>
            </w:r>
          </w:p>
        </w:tc>
        <w:tc>
          <w:tcPr>
            <w:tcW w:w="8505" w:type="dxa"/>
            <w:gridSpan w:val="3"/>
            <w:vAlign w:val="center"/>
          </w:tcPr>
          <w:p>
            <w:pPr>
              <w:tabs>
                <w:tab w:val="left" w:pos="993"/>
              </w:tabs>
              <w:spacing w:line="420" w:lineRule="exact"/>
              <w:rPr>
                <w:rFonts w:ascii="宋体" w:hAnsi="宋体" w:eastAsia="宋体"/>
                <w:sz w:val="24"/>
                <w:szCs w:val="24"/>
              </w:rPr>
            </w:pPr>
            <w:r>
              <w:rPr>
                <w:rFonts w:hint="eastAsia" w:ascii="宋体" w:hAnsi="宋体" w:eastAsia="宋体" w:cs="宋体"/>
                <w:sz w:val="24"/>
                <w:szCs w:val="24"/>
              </w:rPr>
              <w:t>其他需要说明的情况，可自行添加</w:t>
            </w:r>
          </w:p>
        </w:tc>
      </w:tr>
    </w:tbl>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供应商：（盖章）</w:t>
      </w:r>
    </w:p>
    <w:p>
      <w:pPr>
        <w:kinsoku w:val="0"/>
        <w:topLinePunct/>
        <w:snapToGrid w:val="0"/>
        <w:spacing w:line="420" w:lineRule="exact"/>
        <w:rPr>
          <w:rFonts w:ascii="宋体" w:hAnsi="宋体" w:eastAsia="宋体"/>
          <w:sz w:val="24"/>
          <w:szCs w:val="24"/>
        </w:rPr>
      </w:pPr>
      <w:r>
        <w:rPr>
          <w:rFonts w:hint="eastAsia" w:ascii="宋体" w:hAnsi="宋体" w:eastAsia="宋体" w:cs="宋体"/>
          <w:sz w:val="24"/>
          <w:szCs w:val="24"/>
        </w:rPr>
        <w:t>法定代表人或委托代理人（签字）：</w:t>
      </w:r>
    </w:p>
    <w:p>
      <w:pPr>
        <w:adjustRightInd w:val="0"/>
        <w:snapToGrid w:val="0"/>
        <w:spacing w:line="420" w:lineRule="exact"/>
        <w:jc w:val="left"/>
        <w:rPr>
          <w:rFonts w:ascii="宋体" w:hAnsi="宋体" w:eastAsia="宋体"/>
          <w:sz w:val="24"/>
          <w:szCs w:val="24"/>
        </w:rPr>
      </w:pPr>
      <w:r>
        <w:rPr>
          <w:rFonts w:hint="eastAsia" w:ascii="宋体" w:hAnsi="宋体" w:eastAsia="宋体" w:cs="宋体"/>
          <w:sz w:val="24"/>
          <w:szCs w:val="24"/>
        </w:rPr>
        <w:t>日期：</w:t>
      </w:r>
    </w:p>
    <w:p>
      <w:pPr>
        <w:adjustRightInd w:val="0"/>
        <w:snapToGrid w:val="0"/>
        <w:spacing w:line="420" w:lineRule="exact"/>
        <w:jc w:val="center"/>
        <w:rPr>
          <w:rFonts w:ascii="宋体" w:hAnsi="宋体" w:eastAsia="宋体"/>
          <w:sz w:val="24"/>
          <w:szCs w:val="24"/>
        </w:rPr>
      </w:pPr>
      <w:r>
        <w:rPr>
          <w:rFonts w:hint="eastAsia" w:ascii="宋体" w:hAnsi="宋体" w:eastAsia="宋体" w:cs="宋体"/>
          <w:sz w:val="24"/>
          <w:szCs w:val="24"/>
        </w:rPr>
        <w:t>注：本表不是格式化表格，供应商可根据需要，自行添加删除。</w:t>
      </w:r>
    </w:p>
    <w:p>
      <w:pPr>
        <w:pStyle w:val="2"/>
        <w:rPr>
          <w:rFonts w:hint="eastAsia"/>
          <w:lang w:eastAsia="zh-CN"/>
        </w:rPr>
      </w:pPr>
    </w:p>
    <w:p>
      <w:pPr>
        <w:numPr>
          <w:ilvl w:val="0"/>
          <w:numId w:val="3"/>
        </w:numPr>
        <w:tabs>
          <w:tab w:val="left" w:pos="1050"/>
          <w:tab w:val="right" w:leader="dot" w:pos="9402"/>
        </w:tabs>
        <w:spacing w:beforeLines="100" w:line="600" w:lineRule="exact"/>
        <w:jc w:val="center"/>
        <w:outlineLvl w:val="0"/>
        <w:rPr>
          <w:rFonts w:ascii="宋体" w:hAnsi="宋体" w:eastAsia="宋体"/>
          <w:b/>
          <w:bCs/>
          <w:w w:val="80"/>
          <w:sz w:val="36"/>
          <w:szCs w:val="36"/>
        </w:rPr>
      </w:pPr>
      <w:r>
        <w:rPr>
          <w:rFonts w:hint="eastAsia" w:ascii="宋体" w:hAnsi="宋体" w:eastAsia="宋体" w:cs="宋体"/>
          <w:b/>
          <w:bCs/>
          <w:w w:val="80"/>
          <w:sz w:val="36"/>
          <w:szCs w:val="36"/>
        </w:rPr>
        <w:t>磋商响应文件的组成及格式</w:t>
      </w:r>
    </w:p>
    <w:p>
      <w:pPr>
        <w:adjustRightInd w:val="0"/>
        <w:snapToGrid w:val="0"/>
        <w:spacing w:line="420" w:lineRule="exact"/>
        <w:ind w:firstLine="487" w:firstLineChars="202"/>
        <w:jc w:val="left"/>
        <w:outlineLvl w:val="1"/>
        <w:rPr>
          <w:rFonts w:ascii="宋体" w:hAnsi="宋体" w:eastAsia="宋体"/>
          <w:b/>
          <w:bCs/>
          <w:sz w:val="24"/>
          <w:szCs w:val="24"/>
        </w:rPr>
      </w:pPr>
      <w:r>
        <w:rPr>
          <w:rFonts w:hint="eastAsia" w:ascii="宋体" w:hAnsi="宋体" w:eastAsia="宋体" w:cs="宋体"/>
          <w:b/>
          <w:bCs/>
          <w:sz w:val="24"/>
          <w:szCs w:val="24"/>
        </w:rPr>
        <w:t>一、磋商响应文件</w:t>
      </w:r>
    </w:p>
    <w:p>
      <w:pPr>
        <w:adjustRightInd w:val="0"/>
        <w:snapToGrid w:val="0"/>
        <w:spacing w:line="420" w:lineRule="exact"/>
        <w:ind w:firstLine="484" w:firstLineChars="202"/>
        <w:jc w:val="left"/>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技术标文件（一个密封包，内含：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adjustRightInd w:val="0"/>
        <w:snapToGrid w:val="0"/>
        <w:spacing w:line="420" w:lineRule="exact"/>
        <w:ind w:firstLine="484" w:firstLineChars="202"/>
        <w:jc w:val="left"/>
        <w:rPr>
          <w:rFonts w:ascii="宋体" w:hAnsi="宋体" w:eastAsia="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w:t>
      </w:r>
      <w:r>
        <w:rPr>
          <w:rFonts w:hint="eastAsia" w:ascii="宋体" w:hAnsi="宋体" w:eastAsia="宋体" w:cs="宋体"/>
          <w:sz w:val="24"/>
          <w:szCs w:val="24"/>
        </w:rPr>
        <w:t>价格标文件（一个密封包，内含：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adjustRightInd w:val="0"/>
        <w:snapToGrid w:val="0"/>
        <w:spacing w:line="420" w:lineRule="exact"/>
        <w:ind w:firstLine="487" w:firstLineChars="202"/>
        <w:jc w:val="left"/>
        <w:outlineLvl w:val="1"/>
        <w:rPr>
          <w:rFonts w:ascii="宋体" w:hAnsi="宋体" w:eastAsia="宋体"/>
          <w:b/>
          <w:bCs/>
          <w:sz w:val="24"/>
          <w:szCs w:val="24"/>
        </w:rPr>
      </w:pPr>
      <w:r>
        <w:rPr>
          <w:rFonts w:hint="eastAsia" w:ascii="宋体" w:hAnsi="宋体" w:eastAsia="宋体" w:cs="宋体"/>
          <w:b/>
          <w:bCs/>
          <w:sz w:val="24"/>
          <w:szCs w:val="24"/>
        </w:rPr>
        <w:t>二、磋商响应文件封面范例</w:t>
      </w:r>
    </w:p>
    <w:p>
      <w:pPr>
        <w:spacing w:beforeLines="100" w:afterLines="100" w:line="600" w:lineRule="exact"/>
        <w:jc w:val="center"/>
        <w:rPr>
          <w:rFonts w:ascii="宋体" w:hAnsi="宋体" w:eastAsia="宋体"/>
          <w:w w:val="80"/>
          <w:kern w:val="44"/>
          <w:sz w:val="36"/>
          <w:szCs w:val="36"/>
        </w:rPr>
      </w:pPr>
    </w:p>
    <w:p>
      <w:pPr>
        <w:spacing w:line="800" w:lineRule="exact"/>
        <w:jc w:val="center"/>
        <w:rPr>
          <w:rFonts w:ascii="宋体" w:hAnsi="宋体" w:eastAsia="宋体" w:cs="宋体"/>
          <w:w w:val="80"/>
          <w:kern w:val="44"/>
          <w:sz w:val="36"/>
          <w:szCs w:val="36"/>
        </w:rPr>
      </w:pPr>
      <w:r>
        <w:rPr>
          <w:rFonts w:hint="eastAsia" w:ascii="宋体" w:hAnsi="宋体" w:eastAsia="宋体" w:cs="宋体"/>
          <w:w w:val="80"/>
          <w:kern w:val="44"/>
          <w:sz w:val="36"/>
          <w:szCs w:val="36"/>
        </w:rPr>
        <w:t>南通人力资源大厦标识标牌设计制作安装项目</w:t>
      </w:r>
    </w:p>
    <w:p>
      <w:pPr>
        <w:spacing w:line="800" w:lineRule="exact"/>
        <w:jc w:val="center"/>
        <w:rPr>
          <w:rFonts w:ascii="宋体" w:hAnsi="宋体" w:eastAsia="宋体"/>
          <w:sz w:val="36"/>
          <w:szCs w:val="36"/>
        </w:rPr>
      </w:pPr>
      <w:r>
        <w:rPr>
          <w:rFonts w:hint="eastAsia" w:ascii="宋体" w:hAnsi="宋体" w:eastAsia="宋体" w:cs="宋体"/>
          <w:sz w:val="36"/>
          <w:szCs w:val="36"/>
        </w:rPr>
        <w:t>竞争性磋商响应文件</w:t>
      </w:r>
    </w:p>
    <w:p>
      <w:pPr>
        <w:spacing w:line="360" w:lineRule="exact"/>
        <w:ind w:firstLine="1920" w:firstLineChars="800"/>
        <w:rPr>
          <w:rFonts w:ascii="宋体" w:hAnsi="宋体" w:eastAsia="宋体"/>
          <w:sz w:val="24"/>
          <w:szCs w:val="24"/>
        </w:rPr>
      </w:pPr>
      <w:r>
        <w:rPr>
          <w:rFonts w:hint="eastAsia" w:ascii="宋体" w:hAnsi="宋体" w:eastAsia="宋体" w:cs="宋体"/>
          <w:sz w:val="24"/>
          <w:szCs w:val="24"/>
        </w:rPr>
        <w:t>对应磋商响应文件，相应填写：技术标文件</w:t>
      </w:r>
    </w:p>
    <w:p>
      <w:pPr>
        <w:spacing w:line="360" w:lineRule="exact"/>
        <w:ind w:firstLine="5280" w:firstLineChars="2200"/>
        <w:jc w:val="left"/>
        <w:rPr>
          <w:rFonts w:ascii="宋体" w:hAnsi="宋体" w:eastAsia="宋体"/>
          <w:sz w:val="24"/>
          <w:szCs w:val="24"/>
        </w:rPr>
      </w:pPr>
      <w:r>
        <w:rPr>
          <w:rFonts w:hint="eastAsia" w:ascii="宋体" w:hAnsi="宋体" w:eastAsia="宋体" w:cs="宋体"/>
          <w:sz w:val="24"/>
          <w:szCs w:val="24"/>
        </w:rPr>
        <w:t>价格标文件</w:t>
      </w:r>
    </w:p>
    <w:p>
      <w:pPr>
        <w:spacing w:line="36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rPr>
          <w:rFonts w:ascii="宋体" w:hAnsi="宋体" w:eastAsia="宋体"/>
          <w:sz w:val="24"/>
          <w:szCs w:val="24"/>
        </w:rPr>
      </w:pPr>
    </w:p>
    <w:p>
      <w:pPr>
        <w:adjustRightInd w:val="0"/>
        <w:snapToGrid w:val="0"/>
        <w:spacing w:line="420" w:lineRule="exact"/>
        <w:jc w:val="center"/>
        <w:rPr>
          <w:rFonts w:ascii="宋体" w:hAnsi="宋体" w:eastAsia="宋体"/>
          <w:sz w:val="24"/>
          <w:szCs w:val="24"/>
        </w:rPr>
      </w:pPr>
    </w:p>
    <w:p>
      <w:pPr>
        <w:adjustRightInd w:val="0"/>
        <w:snapToGrid w:val="0"/>
        <w:spacing w:line="420" w:lineRule="exact"/>
        <w:jc w:val="center"/>
        <w:rPr>
          <w:rFonts w:ascii="宋体" w:hAnsi="宋体" w:eastAsia="宋体"/>
          <w:sz w:val="24"/>
          <w:szCs w:val="24"/>
        </w:rPr>
      </w:pPr>
      <w:r>
        <w:rPr>
          <w:rFonts w:hint="eastAsia" w:ascii="宋体" w:hAnsi="宋体" w:eastAsia="宋体" w:cs="宋体"/>
          <w:sz w:val="24"/>
          <w:szCs w:val="24"/>
        </w:rPr>
        <w:t>供应商：参加磋商响应单位全称</w:t>
      </w:r>
    </w:p>
    <w:p>
      <w:pPr>
        <w:snapToGrid w:val="0"/>
        <w:spacing w:line="420" w:lineRule="exact"/>
        <w:jc w:val="center"/>
        <w:rPr>
          <w:rFonts w:hint="default" w:ascii="仿宋_GB2312" w:hAnsi="宋体" w:eastAsia="宋体"/>
          <w:b/>
          <w:bCs/>
          <w:sz w:val="24"/>
          <w:szCs w:val="24"/>
          <w:lang w:val="en-US" w:eastAsia="zh-CN"/>
        </w:rPr>
      </w:pPr>
      <w:r>
        <w:rPr>
          <w:rFonts w:hint="eastAsia" w:ascii="宋体" w:hAnsi="宋体" w:eastAsia="宋体" w:cs="宋体"/>
          <w:sz w:val="24"/>
          <w:szCs w:val="24"/>
        </w:rPr>
        <w:t>二○二一年   月</w:t>
      </w:r>
      <w:r>
        <w:rPr>
          <w:rFonts w:hint="eastAsia" w:ascii="宋体" w:hAnsi="宋体" w:eastAsia="宋体" w:cs="宋体"/>
          <w:sz w:val="24"/>
          <w:szCs w:val="24"/>
          <w:lang w:val="en-US" w:eastAsia="zh-CN"/>
        </w:rPr>
        <w:t xml:space="preserve">   日</w:t>
      </w: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仿宋_GB2312" w:hAnsi="宋体" w:eastAsia="仿宋_GB2312"/>
          <w:b/>
          <w:bCs/>
          <w:sz w:val="24"/>
          <w:szCs w:val="24"/>
        </w:rPr>
      </w:pPr>
    </w:p>
    <w:p>
      <w:pPr>
        <w:pStyle w:val="2"/>
        <w:rPr>
          <w:rFonts w:ascii="仿宋_GB2312" w:hAnsi="宋体" w:eastAsia="仿宋_GB2312"/>
          <w:b/>
          <w:bCs/>
          <w:sz w:val="24"/>
          <w:szCs w:val="24"/>
        </w:rPr>
      </w:pPr>
    </w:p>
    <w:p>
      <w:pPr>
        <w:pStyle w:val="2"/>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仿宋_GB2312" w:hAnsi="宋体" w:eastAsia="仿宋_GB2312"/>
          <w:b/>
          <w:bCs/>
          <w:sz w:val="24"/>
          <w:szCs w:val="24"/>
        </w:rPr>
      </w:pPr>
    </w:p>
    <w:p>
      <w:pPr>
        <w:adjustRightInd w:val="0"/>
        <w:snapToGrid w:val="0"/>
        <w:spacing w:line="420" w:lineRule="exact"/>
        <w:ind w:firstLine="487" w:firstLineChars="202"/>
        <w:jc w:val="left"/>
        <w:outlineLvl w:val="1"/>
        <w:rPr>
          <w:rFonts w:ascii="宋体" w:hAnsi="宋体" w:eastAsia="宋体"/>
          <w:b/>
          <w:bCs/>
          <w:sz w:val="24"/>
          <w:szCs w:val="24"/>
        </w:rPr>
      </w:pPr>
      <w:r>
        <w:rPr>
          <w:rFonts w:hint="eastAsia" w:ascii="宋体" w:hAnsi="宋体" w:eastAsia="宋体" w:cs="宋体"/>
          <w:b/>
          <w:bCs/>
          <w:sz w:val="24"/>
          <w:szCs w:val="24"/>
        </w:rPr>
        <w:t>三、磋商响应文件</w:t>
      </w:r>
    </w:p>
    <w:p>
      <w:pPr>
        <w:snapToGrid w:val="0"/>
        <w:spacing w:line="420" w:lineRule="exact"/>
        <w:outlineLvl w:val="2"/>
        <w:rPr>
          <w:rFonts w:ascii="宋体" w:hAnsi="宋体" w:eastAsia="宋体"/>
          <w:b/>
          <w:bCs/>
          <w:sz w:val="24"/>
          <w:szCs w:val="24"/>
        </w:rPr>
      </w:pPr>
      <w:r>
        <w:rPr>
          <w:rFonts w:ascii="宋体" w:hAnsi="宋体" w:eastAsia="宋体" w:cs="宋体"/>
          <w:b/>
          <w:bCs/>
          <w:sz w:val="24"/>
          <w:szCs w:val="24"/>
        </w:rPr>
        <w:t>A</w:t>
      </w:r>
      <w:r>
        <w:rPr>
          <w:rFonts w:hint="eastAsia" w:ascii="宋体" w:hAnsi="宋体" w:eastAsia="宋体" w:cs="宋体"/>
          <w:b/>
          <w:bCs/>
          <w:sz w:val="24"/>
          <w:szCs w:val="24"/>
        </w:rPr>
        <w:t>、技术标文件</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snapToGrid w:val="0"/>
        <w:spacing w:beforeLines="100" w:line="420" w:lineRule="exact"/>
        <w:jc w:val="center"/>
        <w:outlineLvl w:val="3"/>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竞争性磋商响应函</w:t>
      </w:r>
    </w:p>
    <w:p>
      <w:pPr>
        <w:snapToGrid w:val="0"/>
        <w:spacing w:line="420" w:lineRule="exact"/>
        <w:rPr>
          <w:rFonts w:ascii="宋体" w:hAnsi="宋体" w:eastAsia="宋体"/>
          <w:sz w:val="24"/>
          <w:szCs w:val="24"/>
        </w:rPr>
      </w:pPr>
      <w:r>
        <w:rPr>
          <w:rFonts w:hint="eastAsia" w:ascii="宋体" w:hAnsi="宋体" w:eastAsia="宋体" w:cs="宋体"/>
          <w:sz w:val="24"/>
          <w:szCs w:val="24"/>
        </w:rPr>
        <w:t>南通市人力资源服务中心：</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依据贵单位</w:t>
      </w:r>
      <w:r>
        <w:rPr>
          <w:rFonts w:hint="eastAsia" w:ascii="宋体" w:hAnsi="宋体" w:eastAsia="宋体" w:cs="宋体"/>
          <w:sz w:val="24"/>
          <w:szCs w:val="24"/>
          <w:u w:val="single"/>
        </w:rPr>
        <w:t>（项目名称</w:t>
      </w:r>
      <w:r>
        <w:rPr>
          <w:rFonts w:ascii="宋体" w:hAnsi="宋体" w:eastAsia="宋体" w:cs="宋体"/>
          <w:sz w:val="24"/>
          <w:szCs w:val="24"/>
          <w:u w:val="single"/>
        </w:rPr>
        <w:t>)</w:t>
      </w:r>
      <w:r>
        <w:rPr>
          <w:rFonts w:hint="eastAsia" w:ascii="宋体" w:hAnsi="宋体" w:eastAsia="宋体" w:cs="宋体"/>
          <w:sz w:val="24"/>
          <w:szCs w:val="24"/>
        </w:rPr>
        <w:t>项目竞争性磋商的邀请，我方授权</w:t>
      </w:r>
      <w:r>
        <w:rPr>
          <w:rFonts w:hint="eastAsia" w:ascii="宋体" w:hAnsi="宋体" w:eastAsia="宋体" w:cs="宋体"/>
          <w:sz w:val="24"/>
          <w:szCs w:val="24"/>
          <w:u w:val="single"/>
        </w:rPr>
        <w:t>（姓名）（职务）</w:t>
      </w:r>
      <w:r>
        <w:rPr>
          <w:rFonts w:hint="eastAsia" w:ascii="宋体" w:hAnsi="宋体" w:eastAsia="宋体" w:cs="宋体"/>
          <w:sz w:val="24"/>
          <w:szCs w:val="24"/>
        </w:rPr>
        <w:t>为全权代表参加该项目的磋商响应工作，全权处理本次磋商的有关事宜。同时，我公司声明如下：</w:t>
      </w:r>
    </w:p>
    <w:p>
      <w:pPr>
        <w:snapToGrid w:val="0"/>
        <w:spacing w:line="420" w:lineRule="exact"/>
        <w:ind w:firstLine="494" w:firstLineChars="206"/>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我方愿意按照磋商文件的一切要求，提供完成该项目的全部内容，我方的磋商响应报价包括完成本项目所有的设计费、材料费、包装费、运输费、装卸费、员工工资、保险、管理费、利润、税金及合同实施过程中的不可预见等所有费用，即交付使用的所有服务费用。</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）我方已经详细审查了全部磋商文件，我方已完全清晰理解磋商文件的要求，不存在任何含糊不清和误解之处，同意放弃对这些文件所提出的异议和质疑的权利。</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）我方承诺提供的磋商响应文件的有效期，从磋商响应文件接收截止之日算起，</w:t>
      </w:r>
      <w:r>
        <w:rPr>
          <w:rFonts w:ascii="宋体" w:hAnsi="宋体" w:eastAsia="宋体" w:cs="宋体"/>
          <w:sz w:val="24"/>
          <w:szCs w:val="24"/>
        </w:rPr>
        <w:t>45</w:t>
      </w:r>
      <w:r>
        <w:rPr>
          <w:rFonts w:hint="eastAsia" w:ascii="宋体" w:hAnsi="宋体" w:eastAsia="宋体" w:cs="宋体"/>
          <w:sz w:val="24"/>
          <w:szCs w:val="24"/>
        </w:rPr>
        <w:t>个日历天内保持有效。</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）我方愿意提供采购人在磋商文件中要求的所有资料。</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）我方承诺在本次磋商响应中提供的一切文件，无论是原件还是复印件均真实有效，绝无任何虚假、伪造和夸大的成份。否则，愿承担相应的后果和法律责任。</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）我方尊重评审小组所作评定结果，同时也清楚理解到磋商报价最低并非意味着必定获得中标资格。</w:t>
      </w:r>
    </w:p>
    <w:p>
      <w:pPr>
        <w:snapToGrid w:val="0"/>
        <w:spacing w:line="420" w:lineRule="exact"/>
        <w:ind w:firstLine="480" w:firstLineChars="200"/>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）一旦我方成交，我方将根据磋商文件的规定，严格履行磋商文件中规定的每一项要求，按期、按质、按量履行合同的义务。</w:t>
      </w:r>
    </w:p>
    <w:p>
      <w:pPr>
        <w:snapToGrid w:val="0"/>
        <w:spacing w:line="420" w:lineRule="exact"/>
        <w:ind w:firstLine="2400" w:firstLineChars="1000"/>
        <w:jc w:val="right"/>
        <w:rPr>
          <w:rFonts w:ascii="宋体" w:hAnsi="宋体" w:eastAsia="宋体"/>
          <w:sz w:val="24"/>
          <w:szCs w:val="24"/>
        </w:rPr>
      </w:pPr>
      <w:bookmarkStart w:id="9" w:name="_Hlk527940236"/>
      <w:r>
        <w:rPr>
          <w:rFonts w:hint="eastAsia" w:ascii="宋体" w:hAnsi="宋体" w:eastAsia="宋体" w:cs="宋体"/>
          <w:sz w:val="24"/>
          <w:szCs w:val="24"/>
        </w:rPr>
        <w:t>供应商：（加盖公章）</w:t>
      </w:r>
    </w:p>
    <w:p>
      <w:pPr>
        <w:snapToGrid w:val="0"/>
        <w:spacing w:line="420" w:lineRule="exact"/>
        <w:ind w:firstLine="2400" w:firstLineChars="1000"/>
        <w:jc w:val="right"/>
        <w:rPr>
          <w:rFonts w:ascii="宋体" w:hAnsi="宋体" w:eastAsia="宋体"/>
          <w:sz w:val="24"/>
          <w:szCs w:val="24"/>
        </w:rPr>
      </w:pPr>
      <w:r>
        <w:rPr>
          <w:rFonts w:hint="eastAsia" w:ascii="宋体" w:hAnsi="宋体" w:eastAsia="宋体" w:cs="宋体"/>
          <w:sz w:val="24"/>
          <w:szCs w:val="24"/>
        </w:rPr>
        <w:t>法定代表人或委托代理人：（签字）</w:t>
      </w:r>
    </w:p>
    <w:p>
      <w:pPr>
        <w:wordWrap w:val="0"/>
        <w:snapToGrid w:val="0"/>
        <w:spacing w:line="420" w:lineRule="exact"/>
        <w:jc w:val="right"/>
        <w:rPr>
          <w:rFonts w:ascii="宋体" w:hAnsi="宋体" w:eastAsia="宋体"/>
          <w:sz w:val="24"/>
          <w:szCs w:val="24"/>
        </w:rPr>
      </w:pPr>
      <w:r>
        <w:rPr>
          <w:rFonts w:hint="eastAsia" w:ascii="宋体" w:hAnsi="宋体" w:eastAsia="宋体" w:cs="宋体"/>
          <w:sz w:val="24"/>
          <w:szCs w:val="24"/>
        </w:rPr>
        <w:t>二○二一年  月  日</w:t>
      </w:r>
    </w:p>
    <w:bookmarkEnd w:id="9"/>
    <w:p>
      <w:pPr>
        <w:spacing w:line="420" w:lineRule="exact"/>
        <w:ind w:firstLine="246" w:firstLineChars="102"/>
        <w:jc w:val="center"/>
        <w:rPr>
          <w:rFonts w:ascii="宋体" w:hAnsi="宋体" w:eastAsia="宋体"/>
          <w:b/>
          <w:bCs/>
          <w:sz w:val="24"/>
          <w:szCs w:val="24"/>
        </w:rPr>
      </w:pPr>
    </w:p>
    <w:p/>
    <w:p>
      <w:pPr>
        <w:spacing w:line="420" w:lineRule="exact"/>
        <w:rPr>
          <w:rFonts w:ascii="宋体" w:hAnsi="宋体" w:eastAsia="宋体"/>
          <w:b/>
          <w:bCs/>
          <w:sz w:val="24"/>
          <w:szCs w:val="24"/>
        </w:rPr>
      </w:pPr>
    </w:p>
    <w:p>
      <w:pPr>
        <w:spacing w:line="420" w:lineRule="exact"/>
        <w:rPr>
          <w:rFonts w:ascii="宋体" w:hAnsi="宋体" w:eastAsia="宋体"/>
          <w:b/>
          <w:bCs/>
          <w:sz w:val="24"/>
          <w:szCs w:val="24"/>
        </w:rPr>
      </w:pPr>
    </w:p>
    <w:p>
      <w:pPr>
        <w:spacing w:line="420" w:lineRule="exact"/>
        <w:jc w:val="center"/>
        <w:rPr>
          <w:rFonts w:ascii="宋体" w:hAnsi="宋体" w:eastAsia="宋体" w:cs="宋体"/>
          <w:b/>
          <w:bCs/>
          <w:sz w:val="24"/>
          <w:szCs w:val="24"/>
        </w:rPr>
      </w:pPr>
    </w:p>
    <w:p>
      <w:pPr>
        <w:spacing w:line="420" w:lineRule="exact"/>
        <w:jc w:val="center"/>
        <w:rPr>
          <w:rFonts w:ascii="宋体" w:hAnsi="宋体" w:eastAsia="宋体" w:cs="宋体"/>
          <w:b/>
          <w:bCs/>
          <w:sz w:val="24"/>
          <w:szCs w:val="24"/>
        </w:rPr>
      </w:pPr>
    </w:p>
    <w:p>
      <w:pPr>
        <w:pStyle w:val="2"/>
        <w:spacing w:before="120"/>
        <w:ind w:firstLine="600"/>
      </w:pPr>
    </w:p>
    <w:p>
      <w:pPr>
        <w:pStyle w:val="2"/>
        <w:spacing w:before="120"/>
        <w:ind w:firstLine="600"/>
      </w:pPr>
    </w:p>
    <w:p>
      <w:pPr>
        <w:pStyle w:val="2"/>
        <w:spacing w:before="120"/>
        <w:ind w:firstLine="600"/>
      </w:pPr>
    </w:p>
    <w:p>
      <w:pPr>
        <w:pStyle w:val="2"/>
        <w:spacing w:before="120"/>
        <w:ind w:firstLine="600"/>
      </w:pPr>
    </w:p>
    <w:p>
      <w:pPr>
        <w:pStyle w:val="2"/>
        <w:spacing w:before="120"/>
        <w:ind w:firstLine="600"/>
      </w:pPr>
    </w:p>
    <w:p>
      <w:pPr>
        <w:spacing w:line="420" w:lineRule="exact"/>
        <w:jc w:val="center"/>
        <w:rPr>
          <w:rFonts w:ascii="宋体" w:hAnsi="宋体" w:eastAsia="宋体"/>
        </w:rPr>
      </w:pPr>
      <w:r>
        <w:rPr>
          <w:rFonts w:ascii="宋体" w:hAnsi="宋体" w:eastAsia="宋体" w:cs="宋体"/>
          <w:b/>
          <w:bCs/>
          <w:sz w:val="24"/>
          <w:szCs w:val="24"/>
        </w:rPr>
        <w:t>2.</w:t>
      </w:r>
      <w:r>
        <w:rPr>
          <w:rFonts w:hint="eastAsia" w:ascii="宋体" w:hAnsi="宋体" w:eastAsia="宋体" w:cs="宋体"/>
          <w:b/>
          <w:bCs/>
          <w:sz w:val="24"/>
          <w:szCs w:val="24"/>
        </w:rPr>
        <w:t>技术标评分涉及到的相关资料</w:t>
      </w:r>
    </w:p>
    <w:p>
      <w:pPr>
        <w:snapToGrid w:val="0"/>
        <w:spacing w:line="420" w:lineRule="exact"/>
        <w:outlineLvl w:val="2"/>
        <w:rPr>
          <w:rFonts w:ascii="宋体" w:hAnsi="宋体" w:eastAsia="宋体"/>
          <w:b/>
          <w:bCs/>
          <w:sz w:val="24"/>
          <w:szCs w:val="24"/>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pStyle w:val="2"/>
        <w:spacing w:before="120"/>
        <w:ind w:firstLine="602"/>
        <w:rPr>
          <w:rFonts w:ascii="宋体" w:hAnsi="宋体" w:eastAsia="宋体"/>
          <w:b/>
          <w:bCs/>
        </w:rPr>
      </w:pPr>
    </w:p>
    <w:p>
      <w:pPr>
        <w:snapToGrid w:val="0"/>
        <w:spacing w:line="420" w:lineRule="exact"/>
        <w:outlineLvl w:val="2"/>
        <w:rPr>
          <w:rFonts w:ascii="宋体" w:hAnsi="宋体" w:eastAsia="宋体"/>
          <w:b/>
          <w:bCs/>
          <w:sz w:val="24"/>
          <w:szCs w:val="24"/>
        </w:rPr>
      </w:pPr>
      <w:r>
        <w:rPr>
          <w:rFonts w:hint="eastAsia" w:ascii="宋体" w:hAnsi="宋体" w:eastAsia="宋体" w:cs="宋体"/>
          <w:b/>
          <w:bCs/>
          <w:sz w:val="24"/>
          <w:szCs w:val="24"/>
          <w:lang w:val="en-US" w:eastAsia="zh-CN"/>
        </w:rPr>
        <w:t>B</w:t>
      </w:r>
      <w:r>
        <w:rPr>
          <w:rFonts w:hint="eastAsia" w:ascii="宋体" w:hAnsi="宋体" w:eastAsia="宋体" w:cs="宋体"/>
          <w:b/>
          <w:bCs/>
          <w:sz w:val="24"/>
          <w:szCs w:val="24"/>
        </w:rPr>
        <w:t>、价格标文件</w:t>
      </w:r>
      <w:r>
        <w:rPr>
          <w:rFonts w:hint="eastAsia" w:ascii="宋体" w:hAnsi="宋体" w:eastAsia="宋体" w:cs="宋体"/>
          <w:sz w:val="24"/>
          <w:szCs w:val="24"/>
        </w:rPr>
        <w:t>（一个密封包，内含：</w:t>
      </w:r>
      <w:r>
        <w:rPr>
          <w:rFonts w:ascii="宋体" w:hAnsi="宋体" w:eastAsia="宋体" w:cs="宋体"/>
          <w:sz w:val="24"/>
          <w:szCs w:val="24"/>
        </w:rPr>
        <w:t>1</w:t>
      </w:r>
      <w:r>
        <w:rPr>
          <w:rFonts w:hint="eastAsia" w:ascii="宋体" w:hAnsi="宋体" w:eastAsia="宋体" w:cs="宋体"/>
          <w:sz w:val="24"/>
          <w:szCs w:val="24"/>
        </w:rPr>
        <w:t>份“正本”和</w:t>
      </w:r>
      <w:r>
        <w:rPr>
          <w:rFonts w:ascii="宋体" w:hAnsi="宋体" w:eastAsia="宋体" w:cs="宋体"/>
          <w:sz w:val="24"/>
          <w:szCs w:val="24"/>
        </w:rPr>
        <w:t>2</w:t>
      </w:r>
      <w:r>
        <w:rPr>
          <w:rFonts w:hint="eastAsia" w:ascii="宋体" w:hAnsi="宋体" w:eastAsia="宋体" w:cs="宋体"/>
          <w:sz w:val="24"/>
          <w:szCs w:val="24"/>
        </w:rPr>
        <w:t>份“副本”。）</w:t>
      </w:r>
    </w:p>
    <w:p>
      <w:pPr>
        <w:snapToGrid w:val="0"/>
        <w:spacing w:beforeLines="100" w:line="420" w:lineRule="exact"/>
        <w:jc w:val="center"/>
        <w:outlineLvl w:val="3"/>
        <w:rPr>
          <w:rFonts w:ascii="宋体" w:hAnsi="宋体" w:eastAsia="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磋商响应报价（首次）总表（格式表）</w:t>
      </w:r>
    </w:p>
    <w:p>
      <w:pPr>
        <w:snapToGrid w:val="0"/>
        <w:spacing w:line="420" w:lineRule="exact"/>
        <w:jc w:val="left"/>
        <w:rPr>
          <w:rFonts w:ascii="宋体" w:hAnsi="宋体" w:eastAsia="宋体" w:cs="宋体"/>
          <w:sz w:val="24"/>
          <w:szCs w:val="24"/>
        </w:rPr>
      </w:pPr>
      <w:r>
        <w:rPr>
          <w:rFonts w:hint="eastAsia" w:ascii="宋体" w:hAnsi="宋体" w:eastAsia="宋体" w:cs="宋体"/>
          <w:sz w:val="24"/>
          <w:szCs w:val="24"/>
        </w:rPr>
        <w:t>项目名称：南通人力</w:t>
      </w:r>
      <w:bookmarkStart w:id="10" w:name="_GoBack"/>
      <w:bookmarkEnd w:id="10"/>
      <w:r>
        <w:rPr>
          <w:rFonts w:hint="eastAsia" w:ascii="宋体" w:hAnsi="宋体" w:eastAsia="宋体" w:cs="宋体"/>
          <w:sz w:val="24"/>
          <w:szCs w:val="24"/>
        </w:rPr>
        <w:t>资源大厦标识标牌设计制作安装项目</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969" w:type="dxa"/>
            <w:vAlign w:val="center"/>
          </w:tcPr>
          <w:p>
            <w:pPr>
              <w:snapToGrid w:val="0"/>
              <w:spacing w:line="420" w:lineRule="exact"/>
              <w:ind w:left="1133" w:hanging="1132" w:hangingChars="472"/>
              <w:jc w:val="center"/>
              <w:rPr>
                <w:rFonts w:ascii="宋体" w:hAnsi="宋体" w:eastAsia="宋体"/>
                <w:sz w:val="24"/>
                <w:szCs w:val="24"/>
              </w:rPr>
            </w:pPr>
            <w:r>
              <w:rPr>
                <w:rFonts w:hint="eastAsia" w:ascii="宋体" w:hAnsi="宋体" w:eastAsia="宋体" w:cs="宋体"/>
                <w:sz w:val="24"/>
                <w:szCs w:val="24"/>
              </w:rPr>
              <w:t>项目名称</w:t>
            </w:r>
          </w:p>
        </w:tc>
        <w:tc>
          <w:tcPr>
            <w:tcW w:w="5670" w:type="dxa"/>
            <w:vAlign w:val="center"/>
          </w:tcPr>
          <w:p>
            <w:pPr>
              <w:snapToGrid w:val="0"/>
              <w:spacing w:line="420" w:lineRule="exact"/>
              <w:ind w:left="1133" w:hanging="1132" w:hangingChars="472"/>
              <w:jc w:val="center"/>
              <w:rPr>
                <w:rFonts w:ascii="宋体" w:hAnsi="宋体" w:eastAsia="宋体"/>
                <w:sz w:val="24"/>
                <w:szCs w:val="24"/>
              </w:rPr>
            </w:pPr>
            <w:r>
              <w:rPr>
                <w:rFonts w:hint="eastAsia" w:ascii="宋体" w:hAnsi="宋体" w:eastAsia="宋体" w:cs="宋体"/>
                <w:sz w:val="24"/>
                <w:szCs w:val="24"/>
              </w:rPr>
              <w:t>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969" w:type="dxa"/>
            <w:vAlign w:val="center"/>
          </w:tcPr>
          <w:p>
            <w:pPr>
              <w:snapToGrid w:val="0"/>
              <w:spacing w:line="420" w:lineRule="exact"/>
              <w:ind w:left="2"/>
              <w:rPr>
                <w:rFonts w:ascii="宋体" w:hAnsi="宋体" w:eastAsia="宋体"/>
                <w:sz w:val="24"/>
                <w:szCs w:val="24"/>
              </w:rPr>
            </w:pPr>
            <w:r>
              <w:rPr>
                <w:rFonts w:hint="eastAsia" w:ascii="宋体" w:hAnsi="宋体" w:eastAsia="宋体" w:cs="宋体"/>
                <w:sz w:val="24"/>
                <w:szCs w:val="24"/>
              </w:rPr>
              <w:t>南通人力资源大厦标识标牌设计制作安装项目</w:t>
            </w:r>
          </w:p>
        </w:tc>
        <w:tc>
          <w:tcPr>
            <w:tcW w:w="5670" w:type="dxa"/>
            <w:vAlign w:val="center"/>
          </w:tcPr>
          <w:p>
            <w:pPr>
              <w:snapToGrid w:val="0"/>
              <w:spacing w:line="420" w:lineRule="exact"/>
              <w:ind w:left="1133" w:hanging="1132" w:hangingChars="472"/>
              <w:rPr>
                <w:rFonts w:ascii="宋体" w:hAnsi="宋体" w:eastAsia="宋体"/>
                <w:sz w:val="24"/>
                <w:szCs w:val="24"/>
              </w:rPr>
            </w:pPr>
            <w:r>
              <w:rPr>
                <w:rFonts w:hint="eastAsia" w:ascii="宋体" w:hAnsi="宋体" w:eastAsia="宋体" w:cs="宋体"/>
                <w:sz w:val="24"/>
                <w:szCs w:val="24"/>
              </w:rPr>
              <w:t>人民币大写：</w:t>
            </w:r>
          </w:p>
          <w:p>
            <w:pPr>
              <w:snapToGrid w:val="0"/>
              <w:spacing w:line="420" w:lineRule="exact"/>
              <w:ind w:left="1133" w:hanging="1132" w:hangingChars="472"/>
              <w:rPr>
                <w:rFonts w:ascii="宋体" w:hAnsi="宋体" w:eastAsia="宋体"/>
                <w:sz w:val="24"/>
                <w:szCs w:val="24"/>
              </w:rPr>
            </w:pPr>
            <w:r>
              <w:rPr>
                <w:rFonts w:hint="eastAsia" w:ascii="宋体" w:hAnsi="宋体" w:eastAsia="宋体" w:cs="宋体"/>
                <w:sz w:val="24"/>
                <w:szCs w:val="24"/>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969" w:type="dxa"/>
            <w:tcBorders>
              <w:bottom w:val="single" w:color="auto" w:sz="4" w:space="0"/>
            </w:tcBorders>
            <w:vAlign w:val="center"/>
          </w:tcPr>
          <w:p>
            <w:pPr>
              <w:snapToGrid w:val="0"/>
              <w:spacing w:line="420" w:lineRule="exact"/>
              <w:ind w:left="2"/>
              <w:rPr>
                <w:rFonts w:ascii="宋体" w:hAnsi="宋体" w:eastAsia="宋体"/>
                <w:sz w:val="24"/>
                <w:szCs w:val="24"/>
              </w:rPr>
            </w:pPr>
            <w:r>
              <w:rPr>
                <w:rFonts w:hint="eastAsia" w:ascii="宋体" w:hAnsi="宋体" w:eastAsia="宋体" w:cs="宋体"/>
                <w:sz w:val="24"/>
                <w:szCs w:val="24"/>
              </w:rPr>
              <w:t>商务付款条件</w:t>
            </w:r>
          </w:p>
        </w:tc>
        <w:tc>
          <w:tcPr>
            <w:tcW w:w="5670" w:type="dxa"/>
            <w:tcBorders>
              <w:bottom w:val="single" w:color="auto" w:sz="4" w:space="0"/>
            </w:tcBorders>
            <w:vAlign w:val="center"/>
          </w:tcPr>
          <w:p>
            <w:pPr>
              <w:snapToGrid w:val="0"/>
              <w:spacing w:line="420" w:lineRule="exact"/>
              <w:ind w:left="1133" w:hanging="1132" w:hangingChars="472"/>
              <w:rPr>
                <w:rFonts w:ascii="宋体" w:hAnsi="宋体" w:eastAsia="宋体"/>
                <w:sz w:val="24"/>
                <w:szCs w:val="24"/>
              </w:rPr>
            </w:pPr>
            <w:r>
              <w:rPr>
                <w:rFonts w:hint="eastAsia" w:ascii="宋体" w:hAnsi="宋体" w:eastAsia="宋体" w:cs="宋体"/>
                <w:sz w:val="24"/>
                <w:szCs w:val="24"/>
              </w:rPr>
              <w:t>完全接受并响应本项目竞争性磋商文件的要求。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969"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ind w:left="2"/>
              <w:jc w:val="center"/>
              <w:rPr>
                <w:rFonts w:ascii="宋体" w:hAnsi="宋体" w:eastAsia="宋体" w:cs="宋体"/>
                <w:sz w:val="24"/>
                <w:szCs w:val="24"/>
              </w:rPr>
            </w:pPr>
            <w:r>
              <w:rPr>
                <w:rFonts w:hint="eastAsia" w:ascii="宋体" w:hAnsi="宋体" w:eastAsia="宋体" w:cs="宋体"/>
                <w:sz w:val="24"/>
                <w:szCs w:val="24"/>
              </w:rPr>
              <w:t>评审价格</w:t>
            </w:r>
          </w:p>
        </w:tc>
        <w:tc>
          <w:tcPr>
            <w:tcW w:w="5670"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exact"/>
              <w:ind w:left="944" w:hanging="944" w:hangingChars="472"/>
              <w:rPr>
                <w:rFonts w:ascii="宋体" w:hAnsi="宋体" w:eastAsia="宋体"/>
                <w:sz w:val="24"/>
                <w:szCs w:val="24"/>
              </w:rPr>
            </w:pPr>
            <w:r>
              <w:rPr>
                <w:rFonts w:ascii="Arial" w:hAnsi="Arial" w:cs="Arial"/>
                <w:color w:val="333333"/>
                <w:sz w:val="20"/>
                <w:szCs w:val="20"/>
                <w:shd w:val="clear" w:color="auto" w:fill="FFFFFF"/>
              </w:rPr>
              <w:t>¥</w:t>
            </w:r>
            <w:r>
              <w:rPr>
                <w:rFonts w:hint="eastAsia" w:ascii="宋体" w:hAnsi="宋体" w:eastAsia="宋体" w:cs="宋体"/>
                <w:sz w:val="24"/>
                <w:szCs w:val="24"/>
              </w:rPr>
              <w:t>：</w:t>
            </w:r>
          </w:p>
        </w:tc>
      </w:tr>
    </w:tbl>
    <w:p>
      <w:pPr>
        <w:kinsoku w:val="0"/>
        <w:topLinePunct/>
        <w:snapToGrid w:val="0"/>
        <w:spacing w:line="420" w:lineRule="exact"/>
        <w:rPr>
          <w:rFonts w:ascii="宋体" w:hAnsi="宋体" w:eastAsia="宋体"/>
          <w:sz w:val="24"/>
          <w:szCs w:val="24"/>
        </w:rPr>
      </w:pP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供应商：（盖章）</w:t>
      </w:r>
    </w:p>
    <w:p>
      <w:pPr>
        <w:kinsoku w:val="0"/>
        <w:topLinePunct/>
        <w:snapToGrid w:val="0"/>
        <w:spacing w:line="420" w:lineRule="exact"/>
        <w:rPr>
          <w:rFonts w:ascii="宋体" w:hAnsi="宋体" w:eastAsia="宋体"/>
          <w:sz w:val="24"/>
          <w:szCs w:val="24"/>
        </w:rPr>
      </w:pPr>
      <w:r>
        <w:rPr>
          <w:rFonts w:hint="eastAsia" w:ascii="宋体" w:hAnsi="宋体" w:eastAsia="宋体" w:cs="宋体"/>
          <w:sz w:val="24"/>
          <w:szCs w:val="24"/>
        </w:rPr>
        <w:t>法定代表人或委托代理人（签字）：</w:t>
      </w:r>
    </w:p>
    <w:p>
      <w:pPr>
        <w:kinsoku w:val="0"/>
        <w:topLinePunct/>
        <w:snapToGrid w:val="0"/>
        <w:spacing w:line="420" w:lineRule="exact"/>
        <w:rPr>
          <w:rFonts w:ascii="宋体" w:hAnsi="宋体" w:eastAsia="宋体"/>
          <w:sz w:val="24"/>
          <w:szCs w:val="24"/>
        </w:rPr>
      </w:pPr>
      <w:r>
        <w:rPr>
          <w:rFonts w:hint="eastAsia" w:ascii="宋体" w:hAnsi="宋体" w:eastAsia="宋体" w:cs="宋体"/>
          <w:sz w:val="24"/>
          <w:szCs w:val="24"/>
        </w:rPr>
        <w:t>日期：</w:t>
      </w:r>
    </w:p>
    <w:p>
      <w:pPr>
        <w:kinsoku w:val="0"/>
        <w:topLinePunct/>
        <w:snapToGrid w:val="0"/>
        <w:spacing w:line="420" w:lineRule="exact"/>
        <w:rPr>
          <w:rFonts w:ascii="宋体" w:hAnsi="宋体" w:eastAsia="宋体"/>
          <w:sz w:val="24"/>
          <w:szCs w:val="24"/>
        </w:rPr>
      </w:pPr>
    </w:p>
    <w:p>
      <w:pPr>
        <w:snapToGrid w:val="0"/>
        <w:spacing w:line="420" w:lineRule="exact"/>
        <w:ind w:firstLine="496" w:firstLineChars="206"/>
        <w:rPr>
          <w:rFonts w:ascii="宋体" w:hAnsi="宋体" w:eastAsia="宋体"/>
          <w:b/>
          <w:bCs/>
          <w:sz w:val="24"/>
          <w:szCs w:val="24"/>
        </w:rPr>
      </w:pPr>
      <w:r>
        <w:rPr>
          <w:rFonts w:hint="eastAsia" w:ascii="宋体" w:hAnsi="宋体" w:eastAsia="宋体" w:cs="宋体"/>
          <w:b/>
          <w:bCs/>
          <w:sz w:val="24"/>
          <w:szCs w:val="24"/>
        </w:rPr>
        <w:t>注：</w:t>
      </w:r>
    </w:p>
    <w:p>
      <w:pPr>
        <w:snapToGrid w:val="0"/>
        <w:spacing w:line="420" w:lineRule="exact"/>
        <w:ind w:firstLine="494" w:firstLineChars="206"/>
        <w:rPr>
          <w:rFonts w:ascii="宋体" w:hAnsi="宋体" w:eastAsia="宋体"/>
          <w:sz w:val="24"/>
          <w:szCs w:val="24"/>
          <w:u w:val="thick" w:color="FF0000"/>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）本表为格式表，不得改动，必须提供。</w:t>
      </w:r>
    </w:p>
    <w:p>
      <w:pPr>
        <w:snapToGrid w:val="0"/>
        <w:spacing w:line="420" w:lineRule="exact"/>
        <w:ind w:firstLine="494" w:firstLineChars="206"/>
        <w:rPr>
          <w:rFonts w:ascii="宋体" w:hAnsi="宋体" w:eastAsia="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）响应报价总表内的总价响应：按本竞争性磋商采购文件第二章第八条规定的内容执行。</w:t>
      </w:r>
    </w:p>
    <w:p>
      <w:pPr>
        <w:pStyle w:val="2"/>
        <w:spacing w:before="120"/>
        <w:ind w:firstLine="0" w:firstLineChars="0"/>
        <w:rPr>
          <w:rFonts w:ascii="宋体" w:hAnsi="宋体" w:eastAsia="宋体"/>
          <w:b/>
          <w:bCs/>
        </w:rPr>
      </w:pPr>
    </w:p>
    <w:p>
      <w:pPr>
        <w:pStyle w:val="2"/>
        <w:spacing w:before="120"/>
        <w:ind w:firstLine="600"/>
      </w:pPr>
    </w:p>
    <w:p>
      <w:pPr>
        <w:snapToGrid w:val="0"/>
        <w:spacing w:beforeLines="100" w:line="420" w:lineRule="exact"/>
        <w:jc w:val="center"/>
        <w:outlineLvl w:val="3"/>
        <w:rPr>
          <w:rFonts w:ascii="仿宋_GB2312" w:hAnsi="宋体" w:eastAsia="仿宋_GB2312"/>
          <w:b/>
          <w:bCs/>
          <w:sz w:val="24"/>
          <w:szCs w:val="24"/>
        </w:rPr>
      </w:pPr>
      <w:r>
        <w:rPr>
          <w:rFonts w:ascii="宋体" w:hAnsi="宋体" w:eastAsia="宋体" w:cs="宋体"/>
          <w:b/>
          <w:bCs/>
          <w:sz w:val="24"/>
          <w:szCs w:val="24"/>
        </w:rPr>
        <w:t>2.</w:t>
      </w:r>
      <w:r>
        <w:rPr>
          <w:rFonts w:hint="eastAsia" w:ascii="宋体" w:hAnsi="宋体" w:eastAsia="宋体" w:cs="宋体"/>
          <w:b/>
          <w:bCs/>
          <w:sz w:val="24"/>
          <w:szCs w:val="24"/>
        </w:rPr>
        <w:t>磋商响应报价明细表（格式自拟）</w:t>
      </w:r>
    </w:p>
    <w:p>
      <w:pPr>
        <w:snapToGrid w:val="0"/>
        <w:spacing w:line="420" w:lineRule="exact"/>
        <w:ind w:firstLine="494" w:firstLineChars="206"/>
        <w:rPr>
          <w:rFonts w:ascii="黑体" w:hAnsi="黑体" w:eastAsia="黑体"/>
          <w:sz w:val="24"/>
          <w:szCs w:val="24"/>
        </w:rPr>
      </w:pPr>
      <w:r>
        <w:rPr>
          <w:rFonts w:hint="eastAsia" w:ascii="黑体" w:hAnsi="黑体" w:eastAsia="黑体"/>
          <w:sz w:val="24"/>
          <w:szCs w:val="24"/>
        </w:rPr>
        <w:t>说明：不同材质、不同规格需逐项报价。</w:t>
      </w:r>
    </w:p>
    <w:p>
      <w:pPr>
        <w:pStyle w:val="2"/>
        <w:spacing w:before="120"/>
        <w:ind w:firstLine="600"/>
        <w:rPr>
          <w:rFonts w:ascii="黑体" w:hAnsi="黑体" w:eastAsia="黑体" w:cs="Times New Roman"/>
        </w:rPr>
      </w:pPr>
    </w:p>
    <w:p>
      <w:pPr>
        <w:pStyle w:val="2"/>
        <w:spacing w:before="120"/>
        <w:ind w:firstLine="600"/>
        <w:rPr>
          <w:rFonts w:ascii="黑体" w:hAnsi="黑体" w:eastAsia="黑体" w:cs="Times New Roman"/>
        </w:rPr>
      </w:pPr>
    </w:p>
    <w:p>
      <w:pPr>
        <w:pStyle w:val="2"/>
        <w:spacing w:before="120"/>
        <w:ind w:firstLine="0" w:firstLineChars="0"/>
        <w:rPr>
          <w:rFonts w:ascii="黑体" w:hAnsi="黑体" w:eastAsia="黑体" w:cs="Times New Roman"/>
        </w:rPr>
      </w:pPr>
    </w:p>
    <w:p>
      <w:pPr>
        <w:pStyle w:val="2"/>
        <w:spacing w:before="120"/>
        <w:ind w:firstLine="602"/>
        <w:jc w:val="left"/>
        <w:rPr>
          <w:rFonts w:ascii="黑体" w:hAnsi="黑体" w:eastAsia="黑体" w:cs="Times New Roman"/>
          <w:b/>
          <w:bCs/>
        </w:rPr>
      </w:pPr>
    </w:p>
    <w:p>
      <w:pPr>
        <w:spacing w:line="420" w:lineRule="exact"/>
        <w:rPr>
          <w:rFonts w:ascii="宋体" w:hAnsi="宋体" w:eastAsia="宋体"/>
          <w:sz w:val="24"/>
          <w:szCs w:val="24"/>
        </w:rPr>
      </w:pPr>
    </w:p>
    <w:sectPr>
      <w:pgSz w:w="11906" w:h="16838"/>
      <w:pgMar w:top="1276" w:right="851" w:bottom="709" w:left="1418" w:header="851" w:footer="448"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1</w:t>
    </w:r>
    <w:r>
      <w:rPr>
        <w:lang w:val="zh-CN"/>
      </w:rPr>
      <w:fldChar w:fldCharType="end"/>
    </w:r>
  </w:p>
  <w:p>
    <w:pPr>
      <w:pStyle w:val="30"/>
      <w:ind w:right="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uto"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28</w:t>
    </w:r>
    <w:r>
      <w:rPr>
        <w:rStyle w:val="51"/>
      </w:rP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44673"/>
    <w:multiLevelType w:val="singleLevel"/>
    <w:tmpl w:val="CE144673"/>
    <w:lvl w:ilvl="0" w:tentative="0">
      <w:start w:val="8"/>
      <w:numFmt w:val="chineseCounting"/>
      <w:suff w:val="space"/>
      <w:lvlText w:val="第%1章"/>
      <w:lvlJc w:val="left"/>
      <w:rPr>
        <w:rFonts w:hint="eastAsia"/>
      </w:rPr>
    </w:lvl>
  </w:abstractNum>
  <w:abstractNum w:abstractNumId="1">
    <w:nsid w:val="FCB50FC1"/>
    <w:multiLevelType w:val="singleLevel"/>
    <w:tmpl w:val="FCB50FC1"/>
    <w:lvl w:ilvl="0" w:tentative="0">
      <w:start w:val="7"/>
      <w:numFmt w:val="chineseCounting"/>
      <w:suff w:val="nothing"/>
      <w:lvlText w:val="%1、"/>
      <w:lvlJc w:val="left"/>
      <w:rPr>
        <w:rFonts w:hint="eastAsia"/>
      </w:rPr>
    </w:lvl>
  </w:abstractNum>
  <w:abstractNum w:abstractNumId="2">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5"/>
  <w:doNotHyphenateCaps/>
  <w:drawingGridHorizontalSpacing w:val="0"/>
  <w:drawingGridVerticalSpacing w:val="19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DYyN2JkZWQ0OGU5MjQ0NjRiYjI2MmQ5ZjA4NGMifQ=="/>
  </w:docVars>
  <w:rsids>
    <w:rsidRoot w:val="00E534D5"/>
    <w:rsid w:val="000001B9"/>
    <w:rsid w:val="00002F17"/>
    <w:rsid w:val="00006330"/>
    <w:rsid w:val="0001091C"/>
    <w:rsid w:val="000238BA"/>
    <w:rsid w:val="00025B67"/>
    <w:rsid w:val="00032F65"/>
    <w:rsid w:val="00035BD9"/>
    <w:rsid w:val="0004017D"/>
    <w:rsid w:val="000463B8"/>
    <w:rsid w:val="00052D4E"/>
    <w:rsid w:val="00053567"/>
    <w:rsid w:val="00056254"/>
    <w:rsid w:val="00056CEC"/>
    <w:rsid w:val="00060C23"/>
    <w:rsid w:val="00062AD9"/>
    <w:rsid w:val="000635AD"/>
    <w:rsid w:val="00064425"/>
    <w:rsid w:val="000652CC"/>
    <w:rsid w:val="000720A4"/>
    <w:rsid w:val="00072AEC"/>
    <w:rsid w:val="0008029A"/>
    <w:rsid w:val="00082C94"/>
    <w:rsid w:val="000845FD"/>
    <w:rsid w:val="000852FF"/>
    <w:rsid w:val="0008696A"/>
    <w:rsid w:val="000928F9"/>
    <w:rsid w:val="000A007E"/>
    <w:rsid w:val="000D0002"/>
    <w:rsid w:val="000E0FBE"/>
    <w:rsid w:val="000E2173"/>
    <w:rsid w:val="000E319D"/>
    <w:rsid w:val="000F22D1"/>
    <w:rsid w:val="000F30E7"/>
    <w:rsid w:val="001005C9"/>
    <w:rsid w:val="00102ECC"/>
    <w:rsid w:val="00104A46"/>
    <w:rsid w:val="00111408"/>
    <w:rsid w:val="001165B9"/>
    <w:rsid w:val="0014061B"/>
    <w:rsid w:val="00140D84"/>
    <w:rsid w:val="00147B35"/>
    <w:rsid w:val="00151D17"/>
    <w:rsid w:val="0015303E"/>
    <w:rsid w:val="00156C68"/>
    <w:rsid w:val="00157D95"/>
    <w:rsid w:val="00173276"/>
    <w:rsid w:val="0017338C"/>
    <w:rsid w:val="00174A3B"/>
    <w:rsid w:val="00184900"/>
    <w:rsid w:val="00186049"/>
    <w:rsid w:val="00193FC7"/>
    <w:rsid w:val="001A5228"/>
    <w:rsid w:val="001B3370"/>
    <w:rsid w:val="001C7FFB"/>
    <w:rsid w:val="001D1152"/>
    <w:rsid w:val="001E34A4"/>
    <w:rsid w:val="001E3986"/>
    <w:rsid w:val="001F1AEA"/>
    <w:rsid w:val="001F5F74"/>
    <w:rsid w:val="002015CA"/>
    <w:rsid w:val="00216399"/>
    <w:rsid w:val="00220D04"/>
    <w:rsid w:val="0022790E"/>
    <w:rsid w:val="00231228"/>
    <w:rsid w:val="00231D63"/>
    <w:rsid w:val="0023591E"/>
    <w:rsid w:val="00235EDC"/>
    <w:rsid w:val="00236486"/>
    <w:rsid w:val="00236594"/>
    <w:rsid w:val="002368CE"/>
    <w:rsid w:val="002373E9"/>
    <w:rsid w:val="0023759A"/>
    <w:rsid w:val="002406F3"/>
    <w:rsid w:val="002410BD"/>
    <w:rsid w:val="002424B1"/>
    <w:rsid w:val="002427FB"/>
    <w:rsid w:val="0025475A"/>
    <w:rsid w:val="00254A20"/>
    <w:rsid w:val="0025711F"/>
    <w:rsid w:val="00273D52"/>
    <w:rsid w:val="002743CE"/>
    <w:rsid w:val="002764A5"/>
    <w:rsid w:val="00277D81"/>
    <w:rsid w:val="00281034"/>
    <w:rsid w:val="002872EA"/>
    <w:rsid w:val="002919C5"/>
    <w:rsid w:val="0029457E"/>
    <w:rsid w:val="00296FBC"/>
    <w:rsid w:val="002A236A"/>
    <w:rsid w:val="002A7E5A"/>
    <w:rsid w:val="002B189F"/>
    <w:rsid w:val="002B4FE6"/>
    <w:rsid w:val="002B6F04"/>
    <w:rsid w:val="002C15F1"/>
    <w:rsid w:val="002D645D"/>
    <w:rsid w:val="002E1FF1"/>
    <w:rsid w:val="002F327B"/>
    <w:rsid w:val="002F47C5"/>
    <w:rsid w:val="002F5722"/>
    <w:rsid w:val="00301C74"/>
    <w:rsid w:val="00303246"/>
    <w:rsid w:val="0030343E"/>
    <w:rsid w:val="003056D5"/>
    <w:rsid w:val="003250E6"/>
    <w:rsid w:val="00330FCB"/>
    <w:rsid w:val="00345F84"/>
    <w:rsid w:val="00346C5B"/>
    <w:rsid w:val="003519CD"/>
    <w:rsid w:val="003530CC"/>
    <w:rsid w:val="00353F0D"/>
    <w:rsid w:val="00356968"/>
    <w:rsid w:val="003669DA"/>
    <w:rsid w:val="0036730E"/>
    <w:rsid w:val="00372893"/>
    <w:rsid w:val="00377B00"/>
    <w:rsid w:val="00381EBC"/>
    <w:rsid w:val="00391E6E"/>
    <w:rsid w:val="0039337F"/>
    <w:rsid w:val="00394DF6"/>
    <w:rsid w:val="003957E3"/>
    <w:rsid w:val="003978D7"/>
    <w:rsid w:val="003A34C0"/>
    <w:rsid w:val="003A4698"/>
    <w:rsid w:val="003B021E"/>
    <w:rsid w:val="003B428E"/>
    <w:rsid w:val="003B69A2"/>
    <w:rsid w:val="003C5319"/>
    <w:rsid w:val="003D7406"/>
    <w:rsid w:val="003D7F09"/>
    <w:rsid w:val="003E056C"/>
    <w:rsid w:val="003E127C"/>
    <w:rsid w:val="003E7797"/>
    <w:rsid w:val="003E7884"/>
    <w:rsid w:val="003F030E"/>
    <w:rsid w:val="003F0F7A"/>
    <w:rsid w:val="003F2C38"/>
    <w:rsid w:val="003F672A"/>
    <w:rsid w:val="003F6EDB"/>
    <w:rsid w:val="003F7F33"/>
    <w:rsid w:val="004047C0"/>
    <w:rsid w:val="00405153"/>
    <w:rsid w:val="0040628C"/>
    <w:rsid w:val="00407BD5"/>
    <w:rsid w:val="0041481E"/>
    <w:rsid w:val="00414AD7"/>
    <w:rsid w:val="00417093"/>
    <w:rsid w:val="00420CC5"/>
    <w:rsid w:val="00452D70"/>
    <w:rsid w:val="00454BE5"/>
    <w:rsid w:val="00455C9F"/>
    <w:rsid w:val="0045745D"/>
    <w:rsid w:val="004615C0"/>
    <w:rsid w:val="0046288F"/>
    <w:rsid w:val="00465684"/>
    <w:rsid w:val="00480109"/>
    <w:rsid w:val="00484F17"/>
    <w:rsid w:val="0048662B"/>
    <w:rsid w:val="0049108F"/>
    <w:rsid w:val="0049272A"/>
    <w:rsid w:val="00493820"/>
    <w:rsid w:val="00494CE2"/>
    <w:rsid w:val="004B49D7"/>
    <w:rsid w:val="004C1930"/>
    <w:rsid w:val="004C2075"/>
    <w:rsid w:val="004C3D44"/>
    <w:rsid w:val="004C5FD1"/>
    <w:rsid w:val="004C6E7E"/>
    <w:rsid w:val="004D298D"/>
    <w:rsid w:val="004D61BE"/>
    <w:rsid w:val="004F2813"/>
    <w:rsid w:val="004F738E"/>
    <w:rsid w:val="00506E5E"/>
    <w:rsid w:val="0052160A"/>
    <w:rsid w:val="0052494D"/>
    <w:rsid w:val="0053388E"/>
    <w:rsid w:val="0053454D"/>
    <w:rsid w:val="00535750"/>
    <w:rsid w:val="00537E76"/>
    <w:rsid w:val="00537E77"/>
    <w:rsid w:val="005460A6"/>
    <w:rsid w:val="005467BB"/>
    <w:rsid w:val="00546B6D"/>
    <w:rsid w:val="00547804"/>
    <w:rsid w:val="00552F99"/>
    <w:rsid w:val="005543D6"/>
    <w:rsid w:val="00556C9D"/>
    <w:rsid w:val="00562574"/>
    <w:rsid w:val="00562DAC"/>
    <w:rsid w:val="00567EB5"/>
    <w:rsid w:val="0057115B"/>
    <w:rsid w:val="00572C40"/>
    <w:rsid w:val="00576CEC"/>
    <w:rsid w:val="005825D9"/>
    <w:rsid w:val="00587589"/>
    <w:rsid w:val="00587E6C"/>
    <w:rsid w:val="00591278"/>
    <w:rsid w:val="00591C07"/>
    <w:rsid w:val="005A17C2"/>
    <w:rsid w:val="005B57AF"/>
    <w:rsid w:val="005B5CCD"/>
    <w:rsid w:val="005C1385"/>
    <w:rsid w:val="005D3641"/>
    <w:rsid w:val="005E0E2B"/>
    <w:rsid w:val="005F0EBE"/>
    <w:rsid w:val="005F17B1"/>
    <w:rsid w:val="005F7677"/>
    <w:rsid w:val="00600EFD"/>
    <w:rsid w:val="00601124"/>
    <w:rsid w:val="00617452"/>
    <w:rsid w:val="00622A66"/>
    <w:rsid w:val="00625432"/>
    <w:rsid w:val="00626B0D"/>
    <w:rsid w:val="006279D3"/>
    <w:rsid w:val="00632ABF"/>
    <w:rsid w:val="006410F0"/>
    <w:rsid w:val="0066592A"/>
    <w:rsid w:val="006668FF"/>
    <w:rsid w:val="00672EB6"/>
    <w:rsid w:val="00675AB0"/>
    <w:rsid w:val="0068173F"/>
    <w:rsid w:val="00683A2C"/>
    <w:rsid w:val="00687D62"/>
    <w:rsid w:val="006A2DDC"/>
    <w:rsid w:val="006A4101"/>
    <w:rsid w:val="006B493F"/>
    <w:rsid w:val="006B711B"/>
    <w:rsid w:val="006C015D"/>
    <w:rsid w:val="006C58E7"/>
    <w:rsid w:val="006D27FA"/>
    <w:rsid w:val="006D334F"/>
    <w:rsid w:val="006D7059"/>
    <w:rsid w:val="006E0ADC"/>
    <w:rsid w:val="006E3272"/>
    <w:rsid w:val="006E5F92"/>
    <w:rsid w:val="006E66B0"/>
    <w:rsid w:val="007007AC"/>
    <w:rsid w:val="00711862"/>
    <w:rsid w:val="0072154D"/>
    <w:rsid w:val="007252D3"/>
    <w:rsid w:val="007324AD"/>
    <w:rsid w:val="007327CE"/>
    <w:rsid w:val="00735FF5"/>
    <w:rsid w:val="007372BA"/>
    <w:rsid w:val="007375A7"/>
    <w:rsid w:val="00740581"/>
    <w:rsid w:val="007444DD"/>
    <w:rsid w:val="00751C8E"/>
    <w:rsid w:val="00753C72"/>
    <w:rsid w:val="00760CA9"/>
    <w:rsid w:val="00761B25"/>
    <w:rsid w:val="0076372B"/>
    <w:rsid w:val="00763AC9"/>
    <w:rsid w:val="00763FE4"/>
    <w:rsid w:val="00767BFB"/>
    <w:rsid w:val="00776A83"/>
    <w:rsid w:val="00785124"/>
    <w:rsid w:val="007A02C4"/>
    <w:rsid w:val="007A0A27"/>
    <w:rsid w:val="007A5E4A"/>
    <w:rsid w:val="007B054B"/>
    <w:rsid w:val="007B4643"/>
    <w:rsid w:val="007C1850"/>
    <w:rsid w:val="007C61B3"/>
    <w:rsid w:val="007D526F"/>
    <w:rsid w:val="007D6344"/>
    <w:rsid w:val="007E0AD6"/>
    <w:rsid w:val="007F0E26"/>
    <w:rsid w:val="007F3CDC"/>
    <w:rsid w:val="007F6691"/>
    <w:rsid w:val="008028B8"/>
    <w:rsid w:val="00810B7C"/>
    <w:rsid w:val="008177B0"/>
    <w:rsid w:val="00817B1C"/>
    <w:rsid w:val="00817C50"/>
    <w:rsid w:val="00821B44"/>
    <w:rsid w:val="00826C14"/>
    <w:rsid w:val="00827733"/>
    <w:rsid w:val="008327A3"/>
    <w:rsid w:val="008341DF"/>
    <w:rsid w:val="00835849"/>
    <w:rsid w:val="0083614A"/>
    <w:rsid w:val="008447D7"/>
    <w:rsid w:val="0084730E"/>
    <w:rsid w:val="008617B0"/>
    <w:rsid w:val="00866FFB"/>
    <w:rsid w:val="00872AC9"/>
    <w:rsid w:val="00873231"/>
    <w:rsid w:val="0087757A"/>
    <w:rsid w:val="00890CEB"/>
    <w:rsid w:val="008A076F"/>
    <w:rsid w:val="008A1730"/>
    <w:rsid w:val="008A3ACD"/>
    <w:rsid w:val="008A5E8E"/>
    <w:rsid w:val="008B1D4A"/>
    <w:rsid w:val="008B26AB"/>
    <w:rsid w:val="008B4D3E"/>
    <w:rsid w:val="008B7501"/>
    <w:rsid w:val="008B7F0B"/>
    <w:rsid w:val="008D300A"/>
    <w:rsid w:val="008E0E80"/>
    <w:rsid w:val="008E24A7"/>
    <w:rsid w:val="008E659E"/>
    <w:rsid w:val="008F4EEE"/>
    <w:rsid w:val="008F5F4C"/>
    <w:rsid w:val="009029AD"/>
    <w:rsid w:val="00907DDF"/>
    <w:rsid w:val="0091153B"/>
    <w:rsid w:val="00912B25"/>
    <w:rsid w:val="00915C70"/>
    <w:rsid w:val="00917058"/>
    <w:rsid w:val="00920E16"/>
    <w:rsid w:val="00922387"/>
    <w:rsid w:val="00922785"/>
    <w:rsid w:val="0092367E"/>
    <w:rsid w:val="00925865"/>
    <w:rsid w:val="0092760D"/>
    <w:rsid w:val="00931B96"/>
    <w:rsid w:val="009476CB"/>
    <w:rsid w:val="00961A26"/>
    <w:rsid w:val="00963B8D"/>
    <w:rsid w:val="00966152"/>
    <w:rsid w:val="009745DC"/>
    <w:rsid w:val="0097594A"/>
    <w:rsid w:val="00985721"/>
    <w:rsid w:val="009A1A7D"/>
    <w:rsid w:val="009B415F"/>
    <w:rsid w:val="009B5D2C"/>
    <w:rsid w:val="009C1F8B"/>
    <w:rsid w:val="009D4151"/>
    <w:rsid w:val="009E79FB"/>
    <w:rsid w:val="009F108F"/>
    <w:rsid w:val="009F1961"/>
    <w:rsid w:val="009F19C2"/>
    <w:rsid w:val="009F4ED7"/>
    <w:rsid w:val="009F4FF3"/>
    <w:rsid w:val="009F5FD9"/>
    <w:rsid w:val="00A1525C"/>
    <w:rsid w:val="00A156B6"/>
    <w:rsid w:val="00A22AC4"/>
    <w:rsid w:val="00A24753"/>
    <w:rsid w:val="00A25F4B"/>
    <w:rsid w:val="00A27EDF"/>
    <w:rsid w:val="00A3316B"/>
    <w:rsid w:val="00A4779A"/>
    <w:rsid w:val="00A50E8D"/>
    <w:rsid w:val="00A7465C"/>
    <w:rsid w:val="00A761B2"/>
    <w:rsid w:val="00A806E0"/>
    <w:rsid w:val="00A81EF1"/>
    <w:rsid w:val="00A84B5F"/>
    <w:rsid w:val="00A8608C"/>
    <w:rsid w:val="00A92987"/>
    <w:rsid w:val="00A95989"/>
    <w:rsid w:val="00AA0CB0"/>
    <w:rsid w:val="00AA44B5"/>
    <w:rsid w:val="00AA607D"/>
    <w:rsid w:val="00AA6F9E"/>
    <w:rsid w:val="00AB0E54"/>
    <w:rsid w:val="00AB516B"/>
    <w:rsid w:val="00AB53DC"/>
    <w:rsid w:val="00AC0233"/>
    <w:rsid w:val="00AC2A34"/>
    <w:rsid w:val="00AC6E8F"/>
    <w:rsid w:val="00AD4508"/>
    <w:rsid w:val="00AE3E5A"/>
    <w:rsid w:val="00AE5F3A"/>
    <w:rsid w:val="00AF1F5C"/>
    <w:rsid w:val="00AF337A"/>
    <w:rsid w:val="00AF502A"/>
    <w:rsid w:val="00B02BBF"/>
    <w:rsid w:val="00B03334"/>
    <w:rsid w:val="00B11F57"/>
    <w:rsid w:val="00B15FC4"/>
    <w:rsid w:val="00B248BC"/>
    <w:rsid w:val="00B32E4D"/>
    <w:rsid w:val="00B3526E"/>
    <w:rsid w:val="00B35945"/>
    <w:rsid w:val="00B46C3D"/>
    <w:rsid w:val="00B476B8"/>
    <w:rsid w:val="00B524BE"/>
    <w:rsid w:val="00B55480"/>
    <w:rsid w:val="00B65035"/>
    <w:rsid w:val="00B73455"/>
    <w:rsid w:val="00B81904"/>
    <w:rsid w:val="00B81FD8"/>
    <w:rsid w:val="00B85A7D"/>
    <w:rsid w:val="00B85D49"/>
    <w:rsid w:val="00B97943"/>
    <w:rsid w:val="00BA50D5"/>
    <w:rsid w:val="00BA60AC"/>
    <w:rsid w:val="00BA7566"/>
    <w:rsid w:val="00BA7AEC"/>
    <w:rsid w:val="00BB093F"/>
    <w:rsid w:val="00BB6C9E"/>
    <w:rsid w:val="00BB709F"/>
    <w:rsid w:val="00BC072C"/>
    <w:rsid w:val="00BC2A9E"/>
    <w:rsid w:val="00BC6392"/>
    <w:rsid w:val="00BC7AC2"/>
    <w:rsid w:val="00BE011E"/>
    <w:rsid w:val="00BE2AF5"/>
    <w:rsid w:val="00BE7DC6"/>
    <w:rsid w:val="00BF32F0"/>
    <w:rsid w:val="00C022D4"/>
    <w:rsid w:val="00C04031"/>
    <w:rsid w:val="00C14558"/>
    <w:rsid w:val="00C14D2C"/>
    <w:rsid w:val="00C16D53"/>
    <w:rsid w:val="00C228EF"/>
    <w:rsid w:val="00C24D0D"/>
    <w:rsid w:val="00C24D11"/>
    <w:rsid w:val="00C26F26"/>
    <w:rsid w:val="00C37A10"/>
    <w:rsid w:val="00C403CE"/>
    <w:rsid w:val="00C4648B"/>
    <w:rsid w:val="00C47B59"/>
    <w:rsid w:val="00C510C7"/>
    <w:rsid w:val="00C51504"/>
    <w:rsid w:val="00C5581B"/>
    <w:rsid w:val="00C606C2"/>
    <w:rsid w:val="00C60A00"/>
    <w:rsid w:val="00C63C8D"/>
    <w:rsid w:val="00C67AE4"/>
    <w:rsid w:val="00C67B3D"/>
    <w:rsid w:val="00C97730"/>
    <w:rsid w:val="00C97B03"/>
    <w:rsid w:val="00CA2A9D"/>
    <w:rsid w:val="00CB1467"/>
    <w:rsid w:val="00CC0727"/>
    <w:rsid w:val="00CC2CDB"/>
    <w:rsid w:val="00CD116B"/>
    <w:rsid w:val="00CD1692"/>
    <w:rsid w:val="00CD6E08"/>
    <w:rsid w:val="00CE2303"/>
    <w:rsid w:val="00CE7347"/>
    <w:rsid w:val="00CF2616"/>
    <w:rsid w:val="00CF2ED9"/>
    <w:rsid w:val="00CF5C22"/>
    <w:rsid w:val="00D12A51"/>
    <w:rsid w:val="00D44107"/>
    <w:rsid w:val="00D46ECE"/>
    <w:rsid w:val="00D55115"/>
    <w:rsid w:val="00D67535"/>
    <w:rsid w:val="00D67F75"/>
    <w:rsid w:val="00D729D3"/>
    <w:rsid w:val="00D7483C"/>
    <w:rsid w:val="00D95445"/>
    <w:rsid w:val="00D95B6D"/>
    <w:rsid w:val="00DA59DC"/>
    <w:rsid w:val="00DB5FD4"/>
    <w:rsid w:val="00DC34A3"/>
    <w:rsid w:val="00DC4C40"/>
    <w:rsid w:val="00DC6188"/>
    <w:rsid w:val="00DD7701"/>
    <w:rsid w:val="00DE0B2C"/>
    <w:rsid w:val="00DE1752"/>
    <w:rsid w:val="00DE4A5C"/>
    <w:rsid w:val="00DE5D87"/>
    <w:rsid w:val="00DE7894"/>
    <w:rsid w:val="00E01851"/>
    <w:rsid w:val="00E020B7"/>
    <w:rsid w:val="00E03AE6"/>
    <w:rsid w:val="00E04CF4"/>
    <w:rsid w:val="00E074A2"/>
    <w:rsid w:val="00E07E71"/>
    <w:rsid w:val="00E1664D"/>
    <w:rsid w:val="00E24C15"/>
    <w:rsid w:val="00E36CCB"/>
    <w:rsid w:val="00E405B2"/>
    <w:rsid w:val="00E43161"/>
    <w:rsid w:val="00E46299"/>
    <w:rsid w:val="00E4635A"/>
    <w:rsid w:val="00E46BB1"/>
    <w:rsid w:val="00E534D5"/>
    <w:rsid w:val="00E57122"/>
    <w:rsid w:val="00E6166E"/>
    <w:rsid w:val="00E63804"/>
    <w:rsid w:val="00E6549A"/>
    <w:rsid w:val="00E72C7D"/>
    <w:rsid w:val="00E90101"/>
    <w:rsid w:val="00E94386"/>
    <w:rsid w:val="00E96B06"/>
    <w:rsid w:val="00EA1DAF"/>
    <w:rsid w:val="00EE0FAE"/>
    <w:rsid w:val="00EE73DF"/>
    <w:rsid w:val="00EF42F3"/>
    <w:rsid w:val="00F00BBC"/>
    <w:rsid w:val="00F01764"/>
    <w:rsid w:val="00F02484"/>
    <w:rsid w:val="00F106B5"/>
    <w:rsid w:val="00F124FB"/>
    <w:rsid w:val="00F16C49"/>
    <w:rsid w:val="00F17488"/>
    <w:rsid w:val="00F208F8"/>
    <w:rsid w:val="00F26DFD"/>
    <w:rsid w:val="00F27746"/>
    <w:rsid w:val="00F34C85"/>
    <w:rsid w:val="00F360CA"/>
    <w:rsid w:val="00F360F7"/>
    <w:rsid w:val="00F4574E"/>
    <w:rsid w:val="00F47172"/>
    <w:rsid w:val="00F500C3"/>
    <w:rsid w:val="00F55EAF"/>
    <w:rsid w:val="00F611E3"/>
    <w:rsid w:val="00F64B88"/>
    <w:rsid w:val="00F663B7"/>
    <w:rsid w:val="00F742DF"/>
    <w:rsid w:val="00F746C3"/>
    <w:rsid w:val="00F77A5A"/>
    <w:rsid w:val="00F80033"/>
    <w:rsid w:val="00F80A4A"/>
    <w:rsid w:val="00F8634E"/>
    <w:rsid w:val="00F876BF"/>
    <w:rsid w:val="00F87A93"/>
    <w:rsid w:val="00F90018"/>
    <w:rsid w:val="00FA1677"/>
    <w:rsid w:val="00FA30D4"/>
    <w:rsid w:val="00FA3365"/>
    <w:rsid w:val="00FA33E3"/>
    <w:rsid w:val="00FB53F9"/>
    <w:rsid w:val="00FD23EF"/>
    <w:rsid w:val="00FD7C15"/>
    <w:rsid w:val="00FE3EA0"/>
    <w:rsid w:val="00FF0214"/>
    <w:rsid w:val="014C17CD"/>
    <w:rsid w:val="0170074F"/>
    <w:rsid w:val="017824C2"/>
    <w:rsid w:val="02895549"/>
    <w:rsid w:val="031134D7"/>
    <w:rsid w:val="03331A50"/>
    <w:rsid w:val="03AC51E9"/>
    <w:rsid w:val="03EB3FD6"/>
    <w:rsid w:val="0405420F"/>
    <w:rsid w:val="048E529C"/>
    <w:rsid w:val="049923C7"/>
    <w:rsid w:val="04B9743D"/>
    <w:rsid w:val="04E04BB5"/>
    <w:rsid w:val="05053370"/>
    <w:rsid w:val="05263E39"/>
    <w:rsid w:val="05DF3722"/>
    <w:rsid w:val="060B2BAA"/>
    <w:rsid w:val="06E64BEE"/>
    <w:rsid w:val="071D5B5B"/>
    <w:rsid w:val="07751AAB"/>
    <w:rsid w:val="08286495"/>
    <w:rsid w:val="08961683"/>
    <w:rsid w:val="08FD0FA4"/>
    <w:rsid w:val="0B2027CC"/>
    <w:rsid w:val="0B6F5760"/>
    <w:rsid w:val="0B9F492D"/>
    <w:rsid w:val="0BBD701C"/>
    <w:rsid w:val="0C877480"/>
    <w:rsid w:val="0C8F7FBB"/>
    <w:rsid w:val="0CB85C3D"/>
    <w:rsid w:val="0CE5695C"/>
    <w:rsid w:val="0D2F6453"/>
    <w:rsid w:val="0D345FCC"/>
    <w:rsid w:val="0DE932EF"/>
    <w:rsid w:val="0EF363A3"/>
    <w:rsid w:val="0F2C64BB"/>
    <w:rsid w:val="0FCD3B80"/>
    <w:rsid w:val="10637478"/>
    <w:rsid w:val="10803EE5"/>
    <w:rsid w:val="11426A54"/>
    <w:rsid w:val="117D6D0A"/>
    <w:rsid w:val="118D2AB9"/>
    <w:rsid w:val="12077907"/>
    <w:rsid w:val="120B79FB"/>
    <w:rsid w:val="12D0114A"/>
    <w:rsid w:val="13065281"/>
    <w:rsid w:val="132E00CF"/>
    <w:rsid w:val="13860218"/>
    <w:rsid w:val="13CB5364"/>
    <w:rsid w:val="14D50269"/>
    <w:rsid w:val="159B7FE9"/>
    <w:rsid w:val="16123859"/>
    <w:rsid w:val="16422F19"/>
    <w:rsid w:val="16780311"/>
    <w:rsid w:val="168D3B61"/>
    <w:rsid w:val="17DC3EEA"/>
    <w:rsid w:val="187F5C52"/>
    <w:rsid w:val="18B22BC0"/>
    <w:rsid w:val="18B71D2B"/>
    <w:rsid w:val="18C33505"/>
    <w:rsid w:val="18E91820"/>
    <w:rsid w:val="190211FF"/>
    <w:rsid w:val="192115E6"/>
    <w:rsid w:val="1A2A3B74"/>
    <w:rsid w:val="1AD37034"/>
    <w:rsid w:val="1ADF3B56"/>
    <w:rsid w:val="1B0E437B"/>
    <w:rsid w:val="1BF26FF6"/>
    <w:rsid w:val="1C4B444F"/>
    <w:rsid w:val="1C677396"/>
    <w:rsid w:val="1CF02DAE"/>
    <w:rsid w:val="1D881635"/>
    <w:rsid w:val="1DF37B05"/>
    <w:rsid w:val="1E913B48"/>
    <w:rsid w:val="1F2F6639"/>
    <w:rsid w:val="1F36444C"/>
    <w:rsid w:val="1F3C5CAC"/>
    <w:rsid w:val="1F664288"/>
    <w:rsid w:val="1FDD68B4"/>
    <w:rsid w:val="200221E5"/>
    <w:rsid w:val="20500E2D"/>
    <w:rsid w:val="20D772CD"/>
    <w:rsid w:val="21142FBC"/>
    <w:rsid w:val="22B72C03"/>
    <w:rsid w:val="22CB33CF"/>
    <w:rsid w:val="23AB3F03"/>
    <w:rsid w:val="23F95EFC"/>
    <w:rsid w:val="24681C0E"/>
    <w:rsid w:val="248C50E9"/>
    <w:rsid w:val="25B10E43"/>
    <w:rsid w:val="25CA52AA"/>
    <w:rsid w:val="25E66A6F"/>
    <w:rsid w:val="25EF2AA0"/>
    <w:rsid w:val="2632419F"/>
    <w:rsid w:val="265926DC"/>
    <w:rsid w:val="273405D2"/>
    <w:rsid w:val="273A08D4"/>
    <w:rsid w:val="27424D64"/>
    <w:rsid w:val="278834D6"/>
    <w:rsid w:val="28B716D5"/>
    <w:rsid w:val="29242236"/>
    <w:rsid w:val="297F5817"/>
    <w:rsid w:val="29D4215C"/>
    <w:rsid w:val="29FA71DD"/>
    <w:rsid w:val="2A87283A"/>
    <w:rsid w:val="2B8047C6"/>
    <w:rsid w:val="2BDC049A"/>
    <w:rsid w:val="2C7E692C"/>
    <w:rsid w:val="2CB01729"/>
    <w:rsid w:val="2DB03BAE"/>
    <w:rsid w:val="2E0B01BD"/>
    <w:rsid w:val="2E2E78E1"/>
    <w:rsid w:val="2E3369ED"/>
    <w:rsid w:val="2E513BF2"/>
    <w:rsid w:val="2E874654"/>
    <w:rsid w:val="2EBC31ED"/>
    <w:rsid w:val="2EDE23D6"/>
    <w:rsid w:val="2F234B17"/>
    <w:rsid w:val="2F6468C7"/>
    <w:rsid w:val="2FAA31FC"/>
    <w:rsid w:val="2FAD0853"/>
    <w:rsid w:val="2FCB78DC"/>
    <w:rsid w:val="2FD074BA"/>
    <w:rsid w:val="30275C6A"/>
    <w:rsid w:val="31736431"/>
    <w:rsid w:val="31934657"/>
    <w:rsid w:val="321D61E5"/>
    <w:rsid w:val="32455E4E"/>
    <w:rsid w:val="32572F5B"/>
    <w:rsid w:val="329A1D2C"/>
    <w:rsid w:val="32D45B36"/>
    <w:rsid w:val="32FD7677"/>
    <w:rsid w:val="33127178"/>
    <w:rsid w:val="331A56DD"/>
    <w:rsid w:val="336720A8"/>
    <w:rsid w:val="341237DB"/>
    <w:rsid w:val="34957EEE"/>
    <w:rsid w:val="34AF5E17"/>
    <w:rsid w:val="34CF5963"/>
    <w:rsid w:val="34F64016"/>
    <w:rsid w:val="3535612A"/>
    <w:rsid w:val="358A0398"/>
    <w:rsid w:val="35B11A3B"/>
    <w:rsid w:val="3631685A"/>
    <w:rsid w:val="364B0F1E"/>
    <w:rsid w:val="36877F67"/>
    <w:rsid w:val="36B02B65"/>
    <w:rsid w:val="373731E1"/>
    <w:rsid w:val="38593F9B"/>
    <w:rsid w:val="387A2F42"/>
    <w:rsid w:val="389B470C"/>
    <w:rsid w:val="38B95A2F"/>
    <w:rsid w:val="3965558B"/>
    <w:rsid w:val="39CD5344"/>
    <w:rsid w:val="39E87D58"/>
    <w:rsid w:val="3A35789E"/>
    <w:rsid w:val="3A434F59"/>
    <w:rsid w:val="3A5A0946"/>
    <w:rsid w:val="3A7B7EC9"/>
    <w:rsid w:val="3AA64614"/>
    <w:rsid w:val="3B12490C"/>
    <w:rsid w:val="3B872EBA"/>
    <w:rsid w:val="3BA65134"/>
    <w:rsid w:val="3BF53825"/>
    <w:rsid w:val="3C4B7528"/>
    <w:rsid w:val="3D2F74A4"/>
    <w:rsid w:val="3D7F7301"/>
    <w:rsid w:val="3D821079"/>
    <w:rsid w:val="3E202CA6"/>
    <w:rsid w:val="3E2A74B3"/>
    <w:rsid w:val="3EC26C70"/>
    <w:rsid w:val="3EF95BE6"/>
    <w:rsid w:val="3F5F2BDD"/>
    <w:rsid w:val="3FDA7B2E"/>
    <w:rsid w:val="41B90D0A"/>
    <w:rsid w:val="425A052B"/>
    <w:rsid w:val="42695A95"/>
    <w:rsid w:val="42BA533C"/>
    <w:rsid w:val="42D31A32"/>
    <w:rsid w:val="43216E71"/>
    <w:rsid w:val="433F148B"/>
    <w:rsid w:val="43F72211"/>
    <w:rsid w:val="4447113F"/>
    <w:rsid w:val="455333FC"/>
    <w:rsid w:val="45676EB6"/>
    <w:rsid w:val="45CF29FF"/>
    <w:rsid w:val="45D25287"/>
    <w:rsid w:val="461E16C5"/>
    <w:rsid w:val="46535B0E"/>
    <w:rsid w:val="46540A65"/>
    <w:rsid w:val="46766A69"/>
    <w:rsid w:val="467C0503"/>
    <w:rsid w:val="468A0E50"/>
    <w:rsid w:val="474447C2"/>
    <w:rsid w:val="475435F5"/>
    <w:rsid w:val="47C25C9D"/>
    <w:rsid w:val="47D33532"/>
    <w:rsid w:val="481740C9"/>
    <w:rsid w:val="485D7895"/>
    <w:rsid w:val="48A46645"/>
    <w:rsid w:val="48A502C3"/>
    <w:rsid w:val="49AA0DA1"/>
    <w:rsid w:val="49FF6F2C"/>
    <w:rsid w:val="4A271E5D"/>
    <w:rsid w:val="4A642FFF"/>
    <w:rsid w:val="4AD45AE0"/>
    <w:rsid w:val="4AD473FF"/>
    <w:rsid w:val="4B506466"/>
    <w:rsid w:val="4B7D670C"/>
    <w:rsid w:val="4B8629C5"/>
    <w:rsid w:val="4BC24048"/>
    <w:rsid w:val="4BDE7848"/>
    <w:rsid w:val="4C4E081A"/>
    <w:rsid w:val="4C641C30"/>
    <w:rsid w:val="4D360773"/>
    <w:rsid w:val="4D696847"/>
    <w:rsid w:val="4DBF7491"/>
    <w:rsid w:val="4DC65A32"/>
    <w:rsid w:val="4DCE1FB4"/>
    <w:rsid w:val="4EA00F20"/>
    <w:rsid w:val="4EF53BDD"/>
    <w:rsid w:val="4EF558DD"/>
    <w:rsid w:val="4F0513A3"/>
    <w:rsid w:val="4F303729"/>
    <w:rsid w:val="4F725961"/>
    <w:rsid w:val="4F8B06D0"/>
    <w:rsid w:val="4FD96FEB"/>
    <w:rsid w:val="4FDA48A7"/>
    <w:rsid w:val="503025A4"/>
    <w:rsid w:val="50E14B0C"/>
    <w:rsid w:val="517D375A"/>
    <w:rsid w:val="51BA3852"/>
    <w:rsid w:val="51C847A7"/>
    <w:rsid w:val="51EC5105"/>
    <w:rsid w:val="528152C4"/>
    <w:rsid w:val="53192936"/>
    <w:rsid w:val="531A7361"/>
    <w:rsid w:val="539E0E3F"/>
    <w:rsid w:val="549C3DB7"/>
    <w:rsid w:val="55697FF0"/>
    <w:rsid w:val="558B60D3"/>
    <w:rsid w:val="57D239B6"/>
    <w:rsid w:val="586A277A"/>
    <w:rsid w:val="588A65EB"/>
    <w:rsid w:val="58C51E7B"/>
    <w:rsid w:val="58C53D5C"/>
    <w:rsid w:val="593F52D1"/>
    <w:rsid w:val="594158C9"/>
    <w:rsid w:val="594A372F"/>
    <w:rsid w:val="59570EC7"/>
    <w:rsid w:val="59B14DA6"/>
    <w:rsid w:val="59F32FF4"/>
    <w:rsid w:val="5A344B51"/>
    <w:rsid w:val="5A882A09"/>
    <w:rsid w:val="5B6055D5"/>
    <w:rsid w:val="5C065F1F"/>
    <w:rsid w:val="5CA21881"/>
    <w:rsid w:val="5D034D02"/>
    <w:rsid w:val="5D301DD4"/>
    <w:rsid w:val="5D3426BB"/>
    <w:rsid w:val="5E0B4055"/>
    <w:rsid w:val="5E3C356B"/>
    <w:rsid w:val="5F0351E7"/>
    <w:rsid w:val="5F9642C2"/>
    <w:rsid w:val="5FA53869"/>
    <w:rsid w:val="5FF50576"/>
    <w:rsid w:val="609A785D"/>
    <w:rsid w:val="60A20ADA"/>
    <w:rsid w:val="60D54D99"/>
    <w:rsid w:val="60D72F61"/>
    <w:rsid w:val="61510322"/>
    <w:rsid w:val="618F5845"/>
    <w:rsid w:val="623F5190"/>
    <w:rsid w:val="62832EAC"/>
    <w:rsid w:val="636A36E7"/>
    <w:rsid w:val="6392203B"/>
    <w:rsid w:val="63B243A4"/>
    <w:rsid w:val="6443100A"/>
    <w:rsid w:val="64590041"/>
    <w:rsid w:val="64971A9B"/>
    <w:rsid w:val="65127210"/>
    <w:rsid w:val="651D2857"/>
    <w:rsid w:val="6555446F"/>
    <w:rsid w:val="65670EFF"/>
    <w:rsid w:val="65830D66"/>
    <w:rsid w:val="65E5495C"/>
    <w:rsid w:val="67527769"/>
    <w:rsid w:val="675D2D1E"/>
    <w:rsid w:val="67C85792"/>
    <w:rsid w:val="67D6478D"/>
    <w:rsid w:val="67DF397A"/>
    <w:rsid w:val="689C5987"/>
    <w:rsid w:val="68B346CD"/>
    <w:rsid w:val="6924336A"/>
    <w:rsid w:val="69FE6203"/>
    <w:rsid w:val="6ADF35CB"/>
    <w:rsid w:val="6AE86D4E"/>
    <w:rsid w:val="6B4E374A"/>
    <w:rsid w:val="6B7919BE"/>
    <w:rsid w:val="6B82068F"/>
    <w:rsid w:val="6B9672FF"/>
    <w:rsid w:val="6C226F88"/>
    <w:rsid w:val="6C660D09"/>
    <w:rsid w:val="6C8D47D1"/>
    <w:rsid w:val="6CD047AC"/>
    <w:rsid w:val="6DA06427"/>
    <w:rsid w:val="6E566319"/>
    <w:rsid w:val="6E9D1116"/>
    <w:rsid w:val="6EA36847"/>
    <w:rsid w:val="6EB371DC"/>
    <w:rsid w:val="6F3C70FB"/>
    <w:rsid w:val="6F444F49"/>
    <w:rsid w:val="6FD5359F"/>
    <w:rsid w:val="706D6BD9"/>
    <w:rsid w:val="70AD5C75"/>
    <w:rsid w:val="70C270F1"/>
    <w:rsid w:val="70CE2B14"/>
    <w:rsid w:val="70EB7FFA"/>
    <w:rsid w:val="714230BF"/>
    <w:rsid w:val="71D646F0"/>
    <w:rsid w:val="7234002B"/>
    <w:rsid w:val="72713E6C"/>
    <w:rsid w:val="72B117A6"/>
    <w:rsid w:val="72C922E5"/>
    <w:rsid w:val="73742BD5"/>
    <w:rsid w:val="7396000F"/>
    <w:rsid w:val="73975040"/>
    <w:rsid w:val="740235C5"/>
    <w:rsid w:val="7470752F"/>
    <w:rsid w:val="74CC5F93"/>
    <w:rsid w:val="74F1780C"/>
    <w:rsid w:val="74F8722E"/>
    <w:rsid w:val="75772595"/>
    <w:rsid w:val="758840B6"/>
    <w:rsid w:val="763063CA"/>
    <w:rsid w:val="76422CDA"/>
    <w:rsid w:val="76490A34"/>
    <w:rsid w:val="76EE56FE"/>
    <w:rsid w:val="77237704"/>
    <w:rsid w:val="77305867"/>
    <w:rsid w:val="773362C8"/>
    <w:rsid w:val="77EB4C70"/>
    <w:rsid w:val="788F035B"/>
    <w:rsid w:val="78C5575B"/>
    <w:rsid w:val="78C92E9E"/>
    <w:rsid w:val="79440647"/>
    <w:rsid w:val="79701BFA"/>
    <w:rsid w:val="7A101E31"/>
    <w:rsid w:val="7A9336EA"/>
    <w:rsid w:val="7B172461"/>
    <w:rsid w:val="7B9F4E03"/>
    <w:rsid w:val="7BC65C11"/>
    <w:rsid w:val="7C3D00A9"/>
    <w:rsid w:val="7C720BA6"/>
    <w:rsid w:val="7C953BE7"/>
    <w:rsid w:val="7D0A5D47"/>
    <w:rsid w:val="7D1831EB"/>
    <w:rsid w:val="7DB85BF4"/>
    <w:rsid w:val="7E0672CB"/>
    <w:rsid w:val="7E0C2CF8"/>
    <w:rsid w:val="7E986579"/>
    <w:rsid w:val="7E9B2391"/>
    <w:rsid w:val="7EF02711"/>
    <w:rsid w:val="7F72408A"/>
    <w:rsid w:val="7FAB214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nhideWhenUsed="0" w:uiPriority="0" w:semiHidden="0" w:name="table of authorities"/>
    <w:lsdException w:uiPriority="99" w:name="macro" w:locked="1"/>
    <w:lsdException w:uiPriority="99" w:name="toa heading" w:locked="1"/>
    <w:lsdException w:unhideWhenUsed="0" w:uiPriority="0" w:semiHidden="0" w:name="List"/>
    <w:lsdException w:unhideWhenUsed="0" w:uiPriority="0"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6"/>
      <w:lang w:val="en-US" w:eastAsia="zh-CN" w:bidi="ar-SA"/>
    </w:rPr>
  </w:style>
  <w:style w:type="paragraph" w:styleId="4">
    <w:name w:val="heading 1"/>
    <w:basedOn w:val="1"/>
    <w:next w:val="1"/>
    <w:link w:val="63"/>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64"/>
    <w:qFormat/>
    <w:uiPriority w:val="99"/>
    <w:pPr>
      <w:keepNext/>
      <w:keepLines/>
      <w:overflowPunct w:val="0"/>
      <w:adjustRightInd w:val="0"/>
      <w:jc w:val="left"/>
      <w:textAlignment w:val="baseline"/>
      <w:outlineLvl w:val="1"/>
    </w:pPr>
    <w:rPr>
      <w:rFonts w:ascii="宋体" w:hAnsi="宋体" w:cs="宋体"/>
      <w:b/>
      <w:bCs/>
    </w:rPr>
  </w:style>
  <w:style w:type="paragraph" w:styleId="6">
    <w:name w:val="heading 3"/>
    <w:basedOn w:val="1"/>
    <w:next w:val="1"/>
    <w:link w:val="65"/>
    <w:qFormat/>
    <w:uiPriority w:val="99"/>
    <w:pPr>
      <w:keepNext/>
      <w:keepLines/>
      <w:adjustRightInd w:val="0"/>
      <w:jc w:val="left"/>
      <w:textAlignment w:val="baseline"/>
      <w:outlineLvl w:val="2"/>
    </w:pPr>
    <w:rPr>
      <w:b/>
      <w:bCs/>
    </w:rPr>
  </w:style>
  <w:style w:type="paragraph" w:styleId="7">
    <w:name w:val="heading 4"/>
    <w:basedOn w:val="1"/>
    <w:next w:val="1"/>
    <w:link w:val="66"/>
    <w:qFormat/>
    <w:uiPriority w:val="99"/>
    <w:pPr>
      <w:keepNext/>
      <w:keepLines/>
      <w:adjustRightInd w:val="0"/>
      <w:spacing w:line="376" w:lineRule="atLeast"/>
      <w:textAlignment w:val="baseline"/>
      <w:outlineLvl w:val="3"/>
    </w:pPr>
    <w:rPr>
      <w:rFonts w:ascii="Arial" w:hAnsi="Arial" w:eastAsia="黑体" w:cs="Arial"/>
      <w:b/>
      <w:bCs/>
      <w:sz w:val="28"/>
      <w:szCs w:val="28"/>
    </w:rPr>
  </w:style>
  <w:style w:type="paragraph" w:styleId="8">
    <w:name w:val="heading 5"/>
    <w:basedOn w:val="1"/>
    <w:next w:val="9"/>
    <w:link w:val="67"/>
    <w:qFormat/>
    <w:uiPriority w:val="99"/>
    <w:pPr>
      <w:keepNext/>
      <w:keepLines/>
      <w:numPr>
        <w:ilvl w:val="4"/>
        <w:numId w:val="1"/>
      </w:numPr>
      <w:spacing w:before="280" w:after="290" w:line="376" w:lineRule="auto"/>
      <w:outlineLvl w:val="4"/>
    </w:pPr>
    <w:rPr>
      <w:rFonts w:ascii="宋体" w:eastAsia="宋体" w:cs="宋体"/>
      <w:b/>
      <w:bCs/>
      <w:spacing w:val="-2"/>
      <w:position w:val="-6"/>
      <w:sz w:val="28"/>
      <w:szCs w:val="28"/>
    </w:rPr>
  </w:style>
  <w:style w:type="paragraph" w:styleId="10">
    <w:name w:val="heading 6"/>
    <w:basedOn w:val="1"/>
    <w:next w:val="9"/>
    <w:link w:val="68"/>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11">
    <w:name w:val="heading 7"/>
    <w:basedOn w:val="1"/>
    <w:next w:val="9"/>
    <w:link w:val="69"/>
    <w:qFormat/>
    <w:uiPriority w:val="99"/>
    <w:pPr>
      <w:keepNext/>
      <w:keepLines/>
      <w:numPr>
        <w:ilvl w:val="6"/>
        <w:numId w:val="1"/>
      </w:numPr>
      <w:spacing w:before="240" w:after="64" w:line="320" w:lineRule="auto"/>
      <w:outlineLvl w:val="6"/>
    </w:pPr>
    <w:rPr>
      <w:rFonts w:ascii="宋体" w:eastAsia="宋体" w:cs="宋体"/>
      <w:b/>
      <w:bCs/>
      <w:spacing w:val="-2"/>
      <w:position w:val="-6"/>
      <w:sz w:val="24"/>
      <w:szCs w:val="24"/>
    </w:rPr>
  </w:style>
  <w:style w:type="paragraph" w:styleId="12">
    <w:name w:val="heading 8"/>
    <w:basedOn w:val="1"/>
    <w:next w:val="9"/>
    <w:link w:val="70"/>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3">
    <w:name w:val="heading 9"/>
    <w:basedOn w:val="1"/>
    <w:next w:val="9"/>
    <w:link w:val="71"/>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3"/>
    <w:qFormat/>
    <w:uiPriority w:val="99"/>
    <w:pPr>
      <w:tabs>
        <w:tab w:val="left" w:pos="420"/>
      </w:tabs>
      <w:spacing w:beforeLines="50" w:after="120" w:line="300" w:lineRule="auto"/>
      <w:ind w:firstLine="420" w:firstLineChars="250"/>
    </w:pPr>
    <w:rPr>
      <w:sz w:val="24"/>
      <w:szCs w:val="24"/>
    </w:rPr>
  </w:style>
  <w:style w:type="paragraph" w:styleId="3">
    <w:name w:val="Body Text"/>
    <w:basedOn w:val="1"/>
    <w:link w:val="72"/>
    <w:qFormat/>
    <w:uiPriority w:val="99"/>
    <w:pPr>
      <w:spacing w:line="400" w:lineRule="exact"/>
    </w:pPr>
    <w:rPr>
      <w:rFonts w:ascii="楷体_GB2312" w:cs="楷体_GB2312"/>
      <w:sz w:val="28"/>
      <w:szCs w:val="28"/>
    </w:rPr>
  </w:style>
  <w:style w:type="paragraph" w:styleId="9">
    <w:name w:val="Normal Indent"/>
    <w:basedOn w:val="1"/>
    <w:link w:val="95"/>
    <w:qFormat/>
    <w:uiPriority w:val="99"/>
    <w:pPr>
      <w:adjustRightInd w:val="0"/>
      <w:ind w:firstLine="420"/>
      <w:jc w:val="left"/>
      <w:textAlignment w:val="baseline"/>
    </w:pPr>
    <w:rPr>
      <w:sz w:val="24"/>
      <w:szCs w:val="24"/>
    </w:rPr>
  </w:style>
  <w:style w:type="paragraph" w:styleId="14">
    <w:name w:val="toc 7"/>
    <w:basedOn w:val="1"/>
    <w:next w:val="1"/>
    <w:semiHidden/>
    <w:qFormat/>
    <w:uiPriority w:val="99"/>
    <w:pPr>
      <w:ind w:left="2520"/>
    </w:pPr>
  </w:style>
  <w:style w:type="paragraph" w:styleId="15">
    <w:name w:val="index 8"/>
    <w:basedOn w:val="1"/>
    <w:next w:val="1"/>
    <w:semiHidden/>
    <w:qFormat/>
    <w:uiPriority w:val="99"/>
    <w:pPr>
      <w:ind w:left="2940"/>
    </w:pPr>
  </w:style>
  <w:style w:type="paragraph" w:styleId="16">
    <w:name w:val="index 5"/>
    <w:basedOn w:val="1"/>
    <w:next w:val="1"/>
    <w:semiHidden/>
    <w:qFormat/>
    <w:uiPriority w:val="99"/>
    <w:pPr>
      <w:ind w:left="1680"/>
    </w:pPr>
  </w:style>
  <w:style w:type="paragraph" w:styleId="17">
    <w:name w:val="Document Map"/>
    <w:basedOn w:val="1"/>
    <w:link w:val="74"/>
    <w:semiHidden/>
    <w:qFormat/>
    <w:uiPriority w:val="99"/>
    <w:pPr>
      <w:shd w:val="clear" w:color="auto" w:fill="000080"/>
    </w:pPr>
  </w:style>
  <w:style w:type="paragraph" w:styleId="18">
    <w:name w:val="annotation text"/>
    <w:basedOn w:val="1"/>
    <w:link w:val="75"/>
    <w:semiHidden/>
    <w:qFormat/>
    <w:uiPriority w:val="99"/>
    <w:pPr>
      <w:jc w:val="left"/>
    </w:pPr>
  </w:style>
  <w:style w:type="paragraph" w:styleId="19">
    <w:name w:val="index 6"/>
    <w:basedOn w:val="1"/>
    <w:next w:val="1"/>
    <w:semiHidden/>
    <w:qFormat/>
    <w:uiPriority w:val="99"/>
    <w:pPr>
      <w:ind w:left="2100"/>
    </w:pPr>
  </w:style>
  <w:style w:type="paragraph" w:styleId="20">
    <w:name w:val="Body Text Indent"/>
    <w:basedOn w:val="1"/>
    <w:link w:val="76"/>
    <w:qFormat/>
    <w:uiPriority w:val="99"/>
    <w:pPr>
      <w:spacing w:line="520" w:lineRule="exact"/>
      <w:ind w:left="570"/>
    </w:pPr>
    <w:rPr>
      <w:rFonts w:ascii="方正仿宋简体" w:hAnsi="创艺简仿宋" w:eastAsia="方正仿宋简体" w:cs="方正仿宋简体"/>
      <w:sz w:val="24"/>
      <w:szCs w:val="24"/>
    </w:rPr>
  </w:style>
  <w:style w:type="paragraph" w:styleId="21">
    <w:name w:val="index 4"/>
    <w:basedOn w:val="1"/>
    <w:next w:val="1"/>
    <w:semiHidden/>
    <w:qFormat/>
    <w:uiPriority w:val="99"/>
    <w:pPr>
      <w:ind w:left="1260"/>
    </w:pPr>
  </w:style>
  <w:style w:type="paragraph" w:styleId="22">
    <w:name w:val="toc 5"/>
    <w:basedOn w:val="1"/>
    <w:next w:val="1"/>
    <w:semiHidden/>
    <w:qFormat/>
    <w:uiPriority w:val="99"/>
    <w:pPr>
      <w:ind w:left="1680"/>
    </w:pPr>
  </w:style>
  <w:style w:type="paragraph" w:styleId="23">
    <w:name w:val="toc 3"/>
    <w:basedOn w:val="1"/>
    <w:next w:val="1"/>
    <w:semiHidden/>
    <w:qFormat/>
    <w:uiPriority w:val="99"/>
    <w:pPr>
      <w:ind w:left="840"/>
    </w:pPr>
  </w:style>
  <w:style w:type="paragraph" w:styleId="24">
    <w:name w:val="Plain Text"/>
    <w:basedOn w:val="1"/>
    <w:link w:val="77"/>
    <w:qFormat/>
    <w:uiPriority w:val="99"/>
    <w:rPr>
      <w:rFonts w:ascii="宋体" w:hAnsi="Courier New" w:cs="宋体"/>
    </w:rPr>
  </w:style>
  <w:style w:type="paragraph" w:styleId="25">
    <w:name w:val="toc 8"/>
    <w:basedOn w:val="1"/>
    <w:next w:val="1"/>
    <w:semiHidden/>
    <w:qFormat/>
    <w:uiPriority w:val="99"/>
    <w:pPr>
      <w:ind w:left="2940"/>
    </w:pPr>
  </w:style>
  <w:style w:type="paragraph" w:styleId="26">
    <w:name w:val="index 3"/>
    <w:basedOn w:val="1"/>
    <w:next w:val="1"/>
    <w:semiHidden/>
    <w:qFormat/>
    <w:uiPriority w:val="99"/>
    <w:pPr>
      <w:ind w:left="840"/>
    </w:pPr>
  </w:style>
  <w:style w:type="paragraph" w:styleId="27">
    <w:name w:val="Date"/>
    <w:basedOn w:val="1"/>
    <w:next w:val="1"/>
    <w:link w:val="78"/>
    <w:qFormat/>
    <w:uiPriority w:val="99"/>
    <w:rPr>
      <w:rFonts w:ascii="宋体" w:hAnsi="宋体" w:cs="宋体"/>
      <w:sz w:val="24"/>
      <w:szCs w:val="24"/>
    </w:rPr>
  </w:style>
  <w:style w:type="paragraph" w:styleId="28">
    <w:name w:val="Body Text Indent 2"/>
    <w:basedOn w:val="1"/>
    <w:link w:val="79"/>
    <w:qFormat/>
    <w:uiPriority w:val="99"/>
    <w:pPr>
      <w:tabs>
        <w:tab w:val="left" w:pos="0"/>
      </w:tabs>
      <w:spacing w:line="360" w:lineRule="auto"/>
      <w:ind w:firstLine="502" w:firstLineChars="209"/>
    </w:pPr>
    <w:rPr>
      <w:rFonts w:ascii="宋体" w:eastAsia="宋体" w:cs="宋体"/>
      <w:b/>
      <w:bCs/>
      <w:sz w:val="24"/>
      <w:szCs w:val="24"/>
    </w:rPr>
  </w:style>
  <w:style w:type="paragraph" w:styleId="29">
    <w:name w:val="Balloon Text"/>
    <w:basedOn w:val="1"/>
    <w:link w:val="80"/>
    <w:semiHidden/>
    <w:qFormat/>
    <w:uiPriority w:val="99"/>
    <w:rPr>
      <w:sz w:val="18"/>
      <w:szCs w:val="18"/>
    </w:rPr>
  </w:style>
  <w:style w:type="paragraph" w:styleId="30">
    <w:name w:val="footer"/>
    <w:basedOn w:val="1"/>
    <w:link w:val="81"/>
    <w:qFormat/>
    <w:uiPriority w:val="99"/>
    <w:pPr>
      <w:tabs>
        <w:tab w:val="center" w:pos="4153"/>
        <w:tab w:val="right" w:pos="8306"/>
      </w:tabs>
      <w:snapToGrid w:val="0"/>
      <w:jc w:val="left"/>
    </w:pPr>
    <w:rPr>
      <w:sz w:val="18"/>
      <w:szCs w:val="18"/>
    </w:rPr>
  </w:style>
  <w:style w:type="paragraph" w:styleId="31">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adjustRightInd w:val="0"/>
      <w:jc w:val="left"/>
      <w:textAlignment w:val="baseline"/>
    </w:pPr>
    <w:rPr>
      <w:sz w:val="24"/>
      <w:szCs w:val="24"/>
    </w:rPr>
  </w:style>
  <w:style w:type="paragraph" w:styleId="33">
    <w:name w:val="toc 4"/>
    <w:basedOn w:val="1"/>
    <w:next w:val="1"/>
    <w:semiHidden/>
    <w:qFormat/>
    <w:uiPriority w:val="99"/>
    <w:pPr>
      <w:ind w:left="1260"/>
    </w:pPr>
  </w:style>
  <w:style w:type="paragraph" w:styleId="34">
    <w:name w:val="index heading"/>
    <w:basedOn w:val="1"/>
    <w:next w:val="35"/>
    <w:semiHidden/>
    <w:qFormat/>
    <w:uiPriority w:val="99"/>
  </w:style>
  <w:style w:type="paragraph" w:styleId="35">
    <w:name w:val="index 1"/>
    <w:basedOn w:val="1"/>
    <w:next w:val="1"/>
    <w:semiHidden/>
    <w:qFormat/>
    <w:uiPriority w:val="99"/>
  </w:style>
  <w:style w:type="paragraph" w:styleId="36">
    <w:name w:val="footnote text"/>
    <w:basedOn w:val="1"/>
    <w:link w:val="83"/>
    <w:semiHidden/>
    <w:qFormat/>
    <w:uiPriority w:val="99"/>
    <w:pPr>
      <w:snapToGrid w:val="0"/>
      <w:jc w:val="left"/>
    </w:pPr>
    <w:rPr>
      <w:sz w:val="18"/>
      <w:szCs w:val="18"/>
    </w:rPr>
  </w:style>
  <w:style w:type="paragraph" w:styleId="37">
    <w:name w:val="toc 6"/>
    <w:basedOn w:val="1"/>
    <w:next w:val="1"/>
    <w:semiHidden/>
    <w:qFormat/>
    <w:uiPriority w:val="99"/>
    <w:pPr>
      <w:ind w:left="2100"/>
    </w:pPr>
  </w:style>
  <w:style w:type="paragraph" w:styleId="38">
    <w:name w:val="Body Text Indent 3"/>
    <w:basedOn w:val="1"/>
    <w:link w:val="84"/>
    <w:qFormat/>
    <w:uiPriority w:val="99"/>
    <w:pPr>
      <w:spacing w:line="360" w:lineRule="auto"/>
      <w:ind w:firstLine="617" w:firstLineChars="257"/>
    </w:pPr>
    <w:rPr>
      <w:rFonts w:eastAsia="宋体"/>
      <w:sz w:val="24"/>
      <w:szCs w:val="24"/>
    </w:rPr>
  </w:style>
  <w:style w:type="paragraph" w:styleId="39">
    <w:name w:val="index 7"/>
    <w:basedOn w:val="1"/>
    <w:next w:val="1"/>
    <w:semiHidden/>
    <w:qFormat/>
    <w:uiPriority w:val="99"/>
    <w:pPr>
      <w:ind w:left="2520"/>
    </w:pPr>
  </w:style>
  <w:style w:type="paragraph" w:styleId="40">
    <w:name w:val="index 9"/>
    <w:basedOn w:val="1"/>
    <w:next w:val="1"/>
    <w:semiHidden/>
    <w:qFormat/>
    <w:uiPriority w:val="99"/>
    <w:pPr>
      <w:ind w:left="3360"/>
    </w:pPr>
  </w:style>
  <w:style w:type="paragraph" w:styleId="41">
    <w:name w:val="table of figures"/>
    <w:basedOn w:val="1"/>
    <w:next w:val="1"/>
    <w:semiHidden/>
    <w:qFormat/>
    <w:uiPriority w:val="99"/>
    <w:pPr>
      <w:adjustRightInd w:val="0"/>
      <w:ind w:left="420" w:hanging="420"/>
      <w:jc w:val="left"/>
      <w:textAlignment w:val="baseline"/>
    </w:pPr>
    <w:rPr>
      <w:smallCaps/>
      <w:sz w:val="24"/>
      <w:szCs w:val="24"/>
    </w:rPr>
  </w:style>
  <w:style w:type="paragraph" w:styleId="42">
    <w:name w:val="toc 2"/>
    <w:basedOn w:val="1"/>
    <w:next w:val="1"/>
    <w:semiHidden/>
    <w:qFormat/>
    <w:uiPriority w:val="99"/>
    <w:pPr>
      <w:ind w:left="420"/>
    </w:pPr>
  </w:style>
  <w:style w:type="paragraph" w:styleId="43">
    <w:name w:val="toc 9"/>
    <w:basedOn w:val="1"/>
    <w:next w:val="1"/>
    <w:semiHidden/>
    <w:qFormat/>
    <w:uiPriority w:val="99"/>
    <w:pPr>
      <w:ind w:left="3360"/>
    </w:pPr>
  </w:style>
  <w:style w:type="paragraph" w:styleId="44">
    <w:name w:val="HTML Preformatted"/>
    <w:basedOn w:val="1"/>
    <w:link w:val="8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index 2"/>
    <w:basedOn w:val="1"/>
    <w:next w:val="1"/>
    <w:semiHidden/>
    <w:qFormat/>
    <w:uiPriority w:val="99"/>
    <w:pPr>
      <w:ind w:left="420"/>
    </w:pPr>
  </w:style>
  <w:style w:type="paragraph" w:styleId="46">
    <w:name w:val="annotation subject"/>
    <w:basedOn w:val="18"/>
    <w:next w:val="18"/>
    <w:link w:val="86"/>
    <w:semiHidden/>
    <w:qFormat/>
    <w:uiPriority w:val="99"/>
    <w:rPr>
      <w:b/>
      <w:bCs/>
    </w:r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auto"/>
      <w:u w:val="single"/>
    </w:rPr>
  </w:style>
  <w:style w:type="character" w:styleId="53">
    <w:name w:val="Emphasis"/>
    <w:basedOn w:val="49"/>
    <w:qFormat/>
    <w:uiPriority w:val="99"/>
    <w:rPr>
      <w:i/>
      <w:iCs/>
    </w:rPr>
  </w:style>
  <w:style w:type="character" w:styleId="54">
    <w:name w:val="line number"/>
    <w:basedOn w:val="49"/>
    <w:qFormat/>
    <w:uiPriority w:val="99"/>
  </w:style>
  <w:style w:type="character" w:styleId="55">
    <w:name w:val="HTML Definition"/>
    <w:basedOn w:val="49"/>
    <w:qFormat/>
    <w:uiPriority w:val="99"/>
    <w:rPr>
      <w:i/>
      <w:iCs/>
    </w:rPr>
  </w:style>
  <w:style w:type="character" w:styleId="56">
    <w:name w:val="Hyperlink"/>
    <w:basedOn w:val="49"/>
    <w:qFormat/>
    <w:uiPriority w:val="99"/>
    <w:rPr>
      <w:color w:val="0000FF"/>
      <w:u w:val="single"/>
    </w:rPr>
  </w:style>
  <w:style w:type="character" w:styleId="57">
    <w:name w:val="HTML Code"/>
    <w:basedOn w:val="49"/>
    <w:qFormat/>
    <w:uiPriority w:val="99"/>
    <w:rPr>
      <w:rFonts w:ascii="Menlo" w:hAnsi="Menlo" w:eastAsia="Times New Roman" w:cs="Menlo"/>
      <w:color w:val="auto"/>
      <w:sz w:val="21"/>
      <w:szCs w:val="21"/>
      <w:shd w:val="clear" w:color="auto" w:fill="auto"/>
    </w:rPr>
  </w:style>
  <w:style w:type="character" w:styleId="58">
    <w:name w:val="annotation reference"/>
    <w:basedOn w:val="49"/>
    <w:semiHidden/>
    <w:qFormat/>
    <w:uiPriority w:val="99"/>
    <w:rPr>
      <w:sz w:val="21"/>
      <w:szCs w:val="21"/>
    </w:rPr>
  </w:style>
  <w:style w:type="character" w:styleId="59">
    <w:name w:val="HTML Cite"/>
    <w:basedOn w:val="49"/>
    <w:qFormat/>
    <w:uiPriority w:val="99"/>
  </w:style>
  <w:style w:type="character" w:styleId="60">
    <w:name w:val="footnote reference"/>
    <w:basedOn w:val="49"/>
    <w:semiHidden/>
    <w:qFormat/>
    <w:uiPriority w:val="99"/>
    <w:rPr>
      <w:vertAlign w:val="superscript"/>
    </w:rPr>
  </w:style>
  <w:style w:type="character" w:styleId="61">
    <w:name w:val="HTML Keyboard"/>
    <w:basedOn w:val="49"/>
    <w:qFormat/>
    <w:uiPriority w:val="99"/>
    <w:rPr>
      <w:rFonts w:ascii="Menlo" w:hAnsi="Menlo" w:eastAsia="Times New Roman" w:cs="Menlo"/>
      <w:sz w:val="21"/>
      <w:szCs w:val="21"/>
    </w:rPr>
  </w:style>
  <w:style w:type="character" w:styleId="62">
    <w:name w:val="HTML Sample"/>
    <w:basedOn w:val="49"/>
    <w:qFormat/>
    <w:uiPriority w:val="99"/>
    <w:rPr>
      <w:rFonts w:ascii="Menlo" w:hAnsi="Menlo" w:eastAsia="Times New Roman" w:cs="Menlo"/>
      <w:sz w:val="21"/>
      <w:szCs w:val="21"/>
    </w:rPr>
  </w:style>
  <w:style w:type="character" w:customStyle="1" w:styleId="63">
    <w:name w:val="标题 1 Char"/>
    <w:basedOn w:val="49"/>
    <w:link w:val="4"/>
    <w:qFormat/>
    <w:uiPriority w:val="9"/>
    <w:rPr>
      <w:rFonts w:eastAsia="楷体_GB2312"/>
      <w:b/>
      <w:bCs/>
      <w:kern w:val="44"/>
      <w:sz w:val="44"/>
      <w:szCs w:val="44"/>
    </w:rPr>
  </w:style>
  <w:style w:type="character" w:customStyle="1" w:styleId="64">
    <w:name w:val="标题 2 Char"/>
    <w:basedOn w:val="49"/>
    <w:link w:val="5"/>
    <w:qFormat/>
    <w:locked/>
    <w:uiPriority w:val="99"/>
    <w:rPr>
      <w:rFonts w:ascii="宋体" w:hAnsi="宋体" w:eastAsia="楷体_GB2312" w:cs="宋体"/>
      <w:b/>
      <w:bCs/>
      <w:kern w:val="2"/>
      <w:sz w:val="26"/>
      <w:szCs w:val="26"/>
      <w:lang w:val="en-US" w:eastAsia="zh-CN"/>
    </w:rPr>
  </w:style>
  <w:style w:type="character" w:customStyle="1" w:styleId="65">
    <w:name w:val="标题 3 Char"/>
    <w:basedOn w:val="49"/>
    <w:link w:val="6"/>
    <w:semiHidden/>
    <w:qFormat/>
    <w:uiPriority w:val="9"/>
    <w:rPr>
      <w:rFonts w:eastAsia="楷体_GB2312"/>
      <w:b/>
      <w:bCs/>
      <w:sz w:val="32"/>
      <w:szCs w:val="32"/>
    </w:rPr>
  </w:style>
  <w:style w:type="character" w:customStyle="1" w:styleId="66">
    <w:name w:val="标题 4 Char"/>
    <w:basedOn w:val="49"/>
    <w:link w:val="7"/>
    <w:semiHidden/>
    <w:qFormat/>
    <w:uiPriority w:val="9"/>
    <w:rPr>
      <w:rFonts w:ascii="Cambria" w:hAnsi="Cambria" w:eastAsia="宋体" w:cs="Times New Roman"/>
      <w:b/>
      <w:bCs/>
      <w:sz w:val="28"/>
      <w:szCs w:val="28"/>
    </w:rPr>
  </w:style>
  <w:style w:type="character" w:customStyle="1" w:styleId="67">
    <w:name w:val="标题 5 Char"/>
    <w:basedOn w:val="49"/>
    <w:link w:val="8"/>
    <w:semiHidden/>
    <w:qFormat/>
    <w:uiPriority w:val="9"/>
    <w:rPr>
      <w:rFonts w:eastAsia="楷体_GB2312"/>
      <w:b/>
      <w:bCs/>
      <w:sz w:val="28"/>
      <w:szCs w:val="28"/>
    </w:rPr>
  </w:style>
  <w:style w:type="character" w:customStyle="1" w:styleId="68">
    <w:name w:val="标题 6 Char"/>
    <w:basedOn w:val="49"/>
    <w:link w:val="10"/>
    <w:semiHidden/>
    <w:qFormat/>
    <w:uiPriority w:val="9"/>
    <w:rPr>
      <w:rFonts w:ascii="Cambria" w:hAnsi="Cambria" w:eastAsia="宋体" w:cs="Times New Roman"/>
      <w:b/>
      <w:bCs/>
      <w:sz w:val="24"/>
      <w:szCs w:val="24"/>
    </w:rPr>
  </w:style>
  <w:style w:type="character" w:customStyle="1" w:styleId="69">
    <w:name w:val="标题 7 Char"/>
    <w:basedOn w:val="49"/>
    <w:link w:val="11"/>
    <w:semiHidden/>
    <w:qFormat/>
    <w:uiPriority w:val="9"/>
    <w:rPr>
      <w:rFonts w:eastAsia="楷体_GB2312"/>
      <w:b/>
      <w:bCs/>
      <w:sz w:val="24"/>
      <w:szCs w:val="24"/>
    </w:rPr>
  </w:style>
  <w:style w:type="character" w:customStyle="1" w:styleId="70">
    <w:name w:val="标题 8 Char"/>
    <w:basedOn w:val="49"/>
    <w:link w:val="12"/>
    <w:semiHidden/>
    <w:qFormat/>
    <w:uiPriority w:val="9"/>
    <w:rPr>
      <w:rFonts w:ascii="Cambria" w:hAnsi="Cambria" w:eastAsia="宋体" w:cs="Times New Roman"/>
      <w:sz w:val="24"/>
      <w:szCs w:val="24"/>
    </w:rPr>
  </w:style>
  <w:style w:type="character" w:customStyle="1" w:styleId="71">
    <w:name w:val="标题 9 Char"/>
    <w:basedOn w:val="49"/>
    <w:link w:val="13"/>
    <w:semiHidden/>
    <w:qFormat/>
    <w:uiPriority w:val="9"/>
    <w:rPr>
      <w:rFonts w:ascii="Cambria" w:hAnsi="Cambria" w:eastAsia="宋体" w:cs="Times New Roman"/>
      <w:szCs w:val="21"/>
    </w:rPr>
  </w:style>
  <w:style w:type="character" w:customStyle="1" w:styleId="72">
    <w:name w:val="正文文本 Char"/>
    <w:basedOn w:val="49"/>
    <w:link w:val="3"/>
    <w:semiHidden/>
    <w:qFormat/>
    <w:uiPriority w:val="99"/>
    <w:rPr>
      <w:rFonts w:eastAsia="楷体_GB2312"/>
      <w:sz w:val="26"/>
      <w:szCs w:val="26"/>
    </w:rPr>
  </w:style>
  <w:style w:type="character" w:customStyle="1" w:styleId="73">
    <w:name w:val="正文首行缩进 Char"/>
    <w:basedOn w:val="49"/>
    <w:link w:val="2"/>
    <w:qFormat/>
    <w:locked/>
    <w:uiPriority w:val="99"/>
    <w:rPr>
      <w:rFonts w:ascii="楷体_GB2312" w:eastAsia="楷体_GB2312" w:cs="楷体_GB2312"/>
      <w:kern w:val="2"/>
      <w:sz w:val="24"/>
      <w:szCs w:val="24"/>
    </w:rPr>
  </w:style>
  <w:style w:type="character" w:customStyle="1" w:styleId="74">
    <w:name w:val="文档结构图 Char"/>
    <w:basedOn w:val="49"/>
    <w:link w:val="17"/>
    <w:semiHidden/>
    <w:qFormat/>
    <w:uiPriority w:val="99"/>
    <w:rPr>
      <w:rFonts w:eastAsia="楷体_GB2312"/>
      <w:sz w:val="0"/>
      <w:szCs w:val="0"/>
    </w:rPr>
  </w:style>
  <w:style w:type="character" w:customStyle="1" w:styleId="75">
    <w:name w:val="批注文字 Char"/>
    <w:basedOn w:val="49"/>
    <w:link w:val="18"/>
    <w:autoRedefine/>
    <w:semiHidden/>
    <w:qFormat/>
    <w:locked/>
    <w:uiPriority w:val="99"/>
    <w:rPr>
      <w:rFonts w:eastAsia="楷体_GB2312"/>
      <w:kern w:val="2"/>
      <w:sz w:val="26"/>
      <w:szCs w:val="26"/>
    </w:rPr>
  </w:style>
  <w:style w:type="character" w:customStyle="1" w:styleId="76">
    <w:name w:val="正文文本缩进 Char"/>
    <w:basedOn w:val="49"/>
    <w:link w:val="20"/>
    <w:autoRedefine/>
    <w:qFormat/>
    <w:locked/>
    <w:uiPriority w:val="99"/>
    <w:rPr>
      <w:rFonts w:ascii="方正仿宋简体" w:hAnsi="创艺简仿宋" w:eastAsia="方正仿宋简体" w:cs="方正仿宋简体"/>
      <w:kern w:val="2"/>
      <w:sz w:val="24"/>
      <w:szCs w:val="24"/>
      <w:lang w:val="en-US" w:eastAsia="zh-CN"/>
    </w:rPr>
  </w:style>
  <w:style w:type="character" w:customStyle="1" w:styleId="77">
    <w:name w:val="纯文本 Char"/>
    <w:basedOn w:val="49"/>
    <w:link w:val="24"/>
    <w:autoRedefine/>
    <w:qFormat/>
    <w:locked/>
    <w:uiPriority w:val="99"/>
    <w:rPr>
      <w:rFonts w:ascii="宋体" w:hAnsi="Courier New" w:eastAsia="楷体_GB2312" w:cs="宋体"/>
      <w:kern w:val="2"/>
      <w:sz w:val="26"/>
      <w:szCs w:val="26"/>
      <w:lang w:val="en-US" w:eastAsia="zh-CN"/>
    </w:rPr>
  </w:style>
  <w:style w:type="character" w:customStyle="1" w:styleId="78">
    <w:name w:val="日期 Char"/>
    <w:basedOn w:val="49"/>
    <w:link w:val="27"/>
    <w:autoRedefine/>
    <w:semiHidden/>
    <w:qFormat/>
    <w:uiPriority w:val="99"/>
    <w:rPr>
      <w:rFonts w:eastAsia="楷体_GB2312"/>
      <w:sz w:val="26"/>
      <w:szCs w:val="26"/>
    </w:rPr>
  </w:style>
  <w:style w:type="character" w:customStyle="1" w:styleId="79">
    <w:name w:val="正文文本缩进 2 Char"/>
    <w:basedOn w:val="49"/>
    <w:link w:val="28"/>
    <w:autoRedefine/>
    <w:semiHidden/>
    <w:qFormat/>
    <w:uiPriority w:val="99"/>
    <w:rPr>
      <w:rFonts w:eastAsia="楷体_GB2312"/>
      <w:sz w:val="26"/>
      <w:szCs w:val="26"/>
    </w:rPr>
  </w:style>
  <w:style w:type="character" w:customStyle="1" w:styleId="80">
    <w:name w:val="批注框文本 Char"/>
    <w:basedOn w:val="49"/>
    <w:link w:val="29"/>
    <w:autoRedefine/>
    <w:semiHidden/>
    <w:qFormat/>
    <w:uiPriority w:val="99"/>
    <w:rPr>
      <w:rFonts w:eastAsia="楷体_GB2312"/>
      <w:sz w:val="0"/>
      <w:szCs w:val="0"/>
    </w:rPr>
  </w:style>
  <w:style w:type="character" w:customStyle="1" w:styleId="81">
    <w:name w:val="页脚 Char"/>
    <w:basedOn w:val="49"/>
    <w:link w:val="30"/>
    <w:qFormat/>
    <w:locked/>
    <w:uiPriority w:val="99"/>
    <w:rPr>
      <w:rFonts w:eastAsia="楷体_GB2312"/>
      <w:kern w:val="2"/>
      <w:sz w:val="18"/>
      <w:szCs w:val="18"/>
    </w:rPr>
  </w:style>
  <w:style w:type="character" w:customStyle="1" w:styleId="82">
    <w:name w:val="页眉 Char"/>
    <w:basedOn w:val="49"/>
    <w:link w:val="31"/>
    <w:autoRedefine/>
    <w:qFormat/>
    <w:locked/>
    <w:uiPriority w:val="99"/>
    <w:rPr>
      <w:rFonts w:eastAsia="楷体_GB2312"/>
      <w:kern w:val="2"/>
      <w:sz w:val="18"/>
      <w:szCs w:val="18"/>
    </w:rPr>
  </w:style>
  <w:style w:type="character" w:customStyle="1" w:styleId="83">
    <w:name w:val="脚注文本 Char"/>
    <w:basedOn w:val="49"/>
    <w:link w:val="36"/>
    <w:autoRedefine/>
    <w:semiHidden/>
    <w:qFormat/>
    <w:uiPriority w:val="99"/>
    <w:rPr>
      <w:rFonts w:eastAsia="楷体_GB2312"/>
      <w:sz w:val="18"/>
      <w:szCs w:val="18"/>
    </w:rPr>
  </w:style>
  <w:style w:type="character" w:customStyle="1" w:styleId="84">
    <w:name w:val="正文文本缩进 3 Char"/>
    <w:basedOn w:val="49"/>
    <w:link w:val="38"/>
    <w:autoRedefine/>
    <w:semiHidden/>
    <w:qFormat/>
    <w:uiPriority w:val="99"/>
    <w:rPr>
      <w:rFonts w:eastAsia="楷体_GB2312"/>
      <w:sz w:val="16"/>
      <w:szCs w:val="16"/>
    </w:rPr>
  </w:style>
  <w:style w:type="character" w:customStyle="1" w:styleId="85">
    <w:name w:val="HTML 预设格式 Char"/>
    <w:basedOn w:val="49"/>
    <w:link w:val="44"/>
    <w:semiHidden/>
    <w:qFormat/>
    <w:uiPriority w:val="99"/>
    <w:rPr>
      <w:rFonts w:ascii="Courier New" w:hAnsi="Courier New" w:eastAsia="楷体_GB2312" w:cs="Courier New"/>
      <w:sz w:val="20"/>
      <w:szCs w:val="20"/>
    </w:rPr>
  </w:style>
  <w:style w:type="character" w:customStyle="1" w:styleId="86">
    <w:name w:val="批注主题 Char"/>
    <w:basedOn w:val="75"/>
    <w:link w:val="46"/>
    <w:semiHidden/>
    <w:qFormat/>
    <w:uiPriority w:val="99"/>
    <w:rPr>
      <w:b/>
      <w:bCs/>
    </w:rPr>
  </w:style>
  <w:style w:type="character" w:customStyle="1" w:styleId="87">
    <w:name w:val="bds_nopic1"/>
    <w:basedOn w:val="49"/>
    <w:autoRedefine/>
    <w:qFormat/>
    <w:uiPriority w:val="99"/>
  </w:style>
  <w:style w:type="character" w:customStyle="1" w:styleId="88">
    <w:name w:val="bds_more8"/>
    <w:autoRedefine/>
    <w:qFormat/>
    <w:uiPriority w:val="99"/>
    <w:rPr>
      <w:rFonts w:ascii="宋体" w:hAnsi="宋体" w:eastAsia="宋体" w:cs="宋体"/>
    </w:rPr>
  </w:style>
  <w:style w:type="character" w:customStyle="1" w:styleId="89">
    <w:name w:val="bds_more4"/>
    <w:autoRedefine/>
    <w:qFormat/>
    <w:uiPriority w:val="99"/>
    <w:rPr>
      <w:rFonts w:ascii="宋体" w:hAnsi="宋体" w:eastAsia="宋体" w:cs="宋体"/>
    </w:rPr>
  </w:style>
  <w:style w:type="character" w:customStyle="1" w:styleId="90">
    <w:name w:val="hilite6"/>
    <w:autoRedefine/>
    <w:qFormat/>
    <w:uiPriority w:val="99"/>
    <w:rPr>
      <w:color w:val="FFFFFF"/>
      <w:shd w:val="clear" w:color="auto" w:fill="auto"/>
    </w:rPr>
  </w:style>
  <w:style w:type="character" w:customStyle="1" w:styleId="91">
    <w:name w:val="hover61"/>
    <w:autoRedefine/>
    <w:qFormat/>
    <w:uiPriority w:val="99"/>
    <w:rPr>
      <w:shd w:val="clear" w:color="auto" w:fill="FF0000"/>
    </w:rPr>
  </w:style>
  <w:style w:type="character" w:customStyle="1" w:styleId="92">
    <w:name w:val="other"/>
    <w:basedOn w:val="49"/>
    <w:autoRedefine/>
    <w:qFormat/>
    <w:uiPriority w:val="99"/>
  </w:style>
  <w:style w:type="character" w:customStyle="1" w:styleId="93">
    <w:name w:val="active"/>
    <w:autoRedefine/>
    <w:qFormat/>
    <w:uiPriority w:val="99"/>
    <w:rPr>
      <w:color w:val="00FF00"/>
      <w:shd w:val="clear" w:color="auto" w:fill="000000"/>
    </w:rPr>
  </w:style>
  <w:style w:type="character" w:customStyle="1" w:styleId="94">
    <w:name w:val="bds_more5"/>
    <w:basedOn w:val="49"/>
    <w:autoRedefine/>
    <w:qFormat/>
    <w:uiPriority w:val="99"/>
  </w:style>
  <w:style w:type="character" w:customStyle="1" w:styleId="95">
    <w:name w:val="正文缩进 Char"/>
    <w:link w:val="9"/>
    <w:autoRedefine/>
    <w:qFormat/>
    <w:locked/>
    <w:uiPriority w:val="99"/>
    <w:rPr>
      <w:rFonts w:eastAsia="楷体_GB2312"/>
      <w:kern w:val="2"/>
      <w:sz w:val="24"/>
      <w:szCs w:val="24"/>
      <w:lang w:val="en-US" w:eastAsia="zh-CN"/>
    </w:rPr>
  </w:style>
  <w:style w:type="character" w:customStyle="1" w:styleId="96">
    <w:name w:val="hilite"/>
    <w:autoRedefine/>
    <w:qFormat/>
    <w:uiPriority w:val="99"/>
    <w:rPr>
      <w:color w:val="FFFFFF"/>
      <w:shd w:val="clear" w:color="auto" w:fill="auto"/>
    </w:rPr>
  </w:style>
  <w:style w:type="character" w:customStyle="1" w:styleId="97">
    <w:name w:val="state"/>
    <w:autoRedefine/>
    <w:qFormat/>
    <w:uiPriority w:val="99"/>
    <w:rPr>
      <w:b/>
      <w:bCs/>
      <w:color w:val="FFFFFF"/>
      <w:sz w:val="19"/>
      <w:szCs w:val="19"/>
    </w:rPr>
  </w:style>
  <w:style w:type="character" w:customStyle="1" w:styleId="98">
    <w:name w:val="noused"/>
    <w:autoRedefine/>
    <w:qFormat/>
    <w:uiPriority w:val="99"/>
    <w:rPr>
      <w:b/>
      <w:bCs/>
      <w:color w:val="FFFFFF"/>
      <w:sz w:val="21"/>
      <w:szCs w:val="21"/>
    </w:rPr>
  </w:style>
  <w:style w:type="character" w:customStyle="1" w:styleId="99">
    <w:name w:val="bds_more6"/>
    <w:basedOn w:val="49"/>
    <w:autoRedefine/>
    <w:qFormat/>
    <w:uiPriority w:val="99"/>
  </w:style>
  <w:style w:type="character" w:customStyle="1" w:styleId="100">
    <w:name w:val="Char Char2"/>
    <w:autoRedefine/>
    <w:qFormat/>
    <w:uiPriority w:val="99"/>
    <w:rPr>
      <w:rFonts w:ascii="宋体" w:hAnsi="宋体" w:eastAsia="楷体_GB2312" w:cs="宋体"/>
      <w:b/>
      <w:bCs/>
      <w:kern w:val="2"/>
      <w:sz w:val="26"/>
      <w:szCs w:val="26"/>
      <w:lang w:val="en-US" w:eastAsia="zh-CN"/>
    </w:rPr>
  </w:style>
  <w:style w:type="character" w:customStyle="1" w:styleId="101">
    <w:name w:val="bds_nopic"/>
    <w:basedOn w:val="49"/>
    <w:autoRedefine/>
    <w:qFormat/>
    <w:uiPriority w:val="99"/>
  </w:style>
  <w:style w:type="character" w:customStyle="1" w:styleId="102">
    <w:name w:val="active8"/>
    <w:autoRedefine/>
    <w:qFormat/>
    <w:uiPriority w:val="99"/>
    <w:rPr>
      <w:color w:val="00FF00"/>
      <w:shd w:val="clear" w:color="auto" w:fill="000000"/>
    </w:rPr>
  </w:style>
  <w:style w:type="character" w:customStyle="1" w:styleId="103">
    <w:name w:val="grid2"/>
    <w:basedOn w:val="49"/>
    <w:autoRedefine/>
    <w:qFormat/>
    <w:uiPriority w:val="99"/>
  </w:style>
  <w:style w:type="character" w:customStyle="1" w:styleId="104">
    <w:name w:val="bds_nopic2"/>
    <w:basedOn w:val="49"/>
    <w:autoRedefine/>
    <w:qFormat/>
    <w:uiPriority w:val="99"/>
  </w:style>
  <w:style w:type="character" w:customStyle="1" w:styleId="105">
    <w:name w:val="grid"/>
    <w:basedOn w:val="49"/>
    <w:autoRedefine/>
    <w:qFormat/>
    <w:uiPriority w:val="99"/>
  </w:style>
  <w:style w:type="character" w:customStyle="1" w:styleId="106">
    <w:name w:val="bds_more7"/>
    <w:basedOn w:val="49"/>
    <w:autoRedefine/>
    <w:qFormat/>
    <w:uiPriority w:val="99"/>
  </w:style>
  <w:style w:type="paragraph" w:customStyle="1" w:styleId="107">
    <w:name w:val="纯文本1"/>
    <w:basedOn w:val="1"/>
    <w:autoRedefine/>
    <w:qFormat/>
    <w:uiPriority w:val="99"/>
    <w:pPr>
      <w:adjustRightInd w:val="0"/>
      <w:textAlignment w:val="baseline"/>
    </w:pPr>
    <w:rPr>
      <w:rFonts w:ascii="宋体" w:hAnsi="Courier New" w:cs="宋体"/>
    </w:rPr>
  </w:style>
  <w:style w:type="paragraph" w:customStyle="1" w:styleId="108">
    <w:name w:val="Char"/>
    <w:basedOn w:val="1"/>
    <w:autoRedefine/>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09">
    <w:name w:val="Char1"/>
    <w:basedOn w:val="1"/>
    <w:autoRedefine/>
    <w:qFormat/>
    <w:uiPriority w:val="99"/>
    <w:rPr>
      <w:rFonts w:ascii="Tahoma" w:hAnsi="Tahoma" w:eastAsia="宋体" w:cs="Tahoma"/>
      <w:sz w:val="24"/>
      <w:szCs w:val="24"/>
    </w:rPr>
  </w:style>
  <w:style w:type="paragraph" w:customStyle="1" w:styleId="110">
    <w:name w:val="纯文本11"/>
    <w:basedOn w:val="1"/>
    <w:qFormat/>
    <w:uiPriority w:val="99"/>
    <w:pPr>
      <w:adjustRightInd w:val="0"/>
      <w:textAlignment w:val="baseline"/>
    </w:pPr>
    <w:rPr>
      <w:rFonts w:ascii="宋体" w:hAnsi="Courier New" w:cs="宋体"/>
      <w:sz w:val="28"/>
      <w:szCs w:val="28"/>
    </w:rPr>
  </w:style>
  <w:style w:type="paragraph" w:customStyle="1" w:styleId="111">
    <w:name w:val="p1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2">
    <w:name w:val="List Paragraph"/>
    <w:basedOn w:val="1"/>
    <w:qFormat/>
    <w:uiPriority w:val="99"/>
    <w:pPr>
      <w:ind w:firstLine="420" w:firstLineChars="200"/>
    </w:pPr>
    <w:rPr>
      <w:rFonts w:eastAsia="宋体"/>
      <w:sz w:val="21"/>
      <w:szCs w:val="21"/>
    </w:rPr>
  </w:style>
  <w:style w:type="paragraph" w:customStyle="1" w:styleId="113">
    <w:name w:val="Char Char1 Char Char Char Char"/>
    <w:basedOn w:val="17"/>
    <w:qFormat/>
    <w:uiPriority w:val="99"/>
    <w:pPr>
      <w:adjustRightInd w:val="0"/>
      <w:snapToGrid w:val="0"/>
      <w:spacing w:line="360" w:lineRule="auto"/>
    </w:pPr>
    <w:rPr>
      <w:rFonts w:ascii="Tahoma" w:hAnsi="Tahoma" w:eastAsia="宋体" w:cs="Tahoma"/>
      <w:sz w:val="24"/>
      <w:szCs w:val="24"/>
    </w:rPr>
  </w:style>
  <w:style w:type="paragraph" w:customStyle="1" w:styleId="114">
    <w:name w:val="图"/>
    <w:basedOn w:val="1"/>
    <w:qFormat/>
    <w:uiPriority w:val="99"/>
    <w:pPr>
      <w:keepNext/>
      <w:adjustRightInd w:val="0"/>
      <w:spacing w:before="60" w:after="60" w:line="300" w:lineRule="auto"/>
      <w:jc w:val="center"/>
      <w:textAlignment w:val="center"/>
    </w:pPr>
    <w:rPr>
      <w:rFonts w:eastAsia="宋体"/>
      <w:spacing w:val="20"/>
      <w:kern w:val="0"/>
      <w:sz w:val="24"/>
      <w:szCs w:val="24"/>
    </w:rPr>
  </w:style>
  <w:style w:type="table" w:customStyle="1" w:styleId="115">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FE944-E43C-4E66-9595-3023B9DCB38B}">
  <ds:schemaRefs/>
</ds:datastoreItem>
</file>

<file path=docProps/app.xml><?xml version="1.0" encoding="utf-8"?>
<Properties xmlns="http://schemas.openxmlformats.org/officeDocument/2006/extended-properties" xmlns:vt="http://schemas.openxmlformats.org/officeDocument/2006/docPropsVTypes">
  <Template>Normal</Template>
  <Company>南京国衡南通分公司</Company>
  <Pages>1</Pages>
  <Words>2940</Words>
  <Characters>16763</Characters>
  <Lines>1</Lines>
  <Paragraphs>1</Paragraphs>
  <TotalTime>24</TotalTime>
  <ScaleCrop>false</ScaleCrop>
  <LinksUpToDate>false</LinksUpToDate>
  <CharactersWithSpaces>19664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2020-09-18T01:21:00Z</dcterms:created>
  <dc:creator>国衡南通</dc:creator>
  <cp:lastModifiedBy>萱</cp:lastModifiedBy>
  <cp:lastPrinted>2021-06-08T11:19:00Z</cp:lastPrinted>
  <dcterms:modified xsi:type="dcterms:W3CDTF">2024-07-10T08:41:08Z</dcterms:modified>
  <dc:title>崇川区政府采购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94BE4C11418342EE9369ABB5343F5285_13</vt:lpwstr>
  </property>
</Properties>
</file>