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南通市工伤保险基金管理中心</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南通市工伤保险基金管理中心</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420.97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336.36</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84.61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420.97</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420.97</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0.58</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0.58</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421.55</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421.55</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headerReference r:id="rId4" w:type="default"/>
          <w:footerReference r:id="rId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420.97</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420.97</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336.36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人力资源和社会保障管理事务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336.36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社会保险经办机构</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336.36</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336.36</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84.61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84.61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84.61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84.61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34.23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34.23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50.38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50.38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6"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420.97</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371.90</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49.07</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336.36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287.29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人力资源和社会保障管理事务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336.36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287.29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社会保险经办机构</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336.36</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287.29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49.07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84.61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84.61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84.61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84.61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34.23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34.23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50.38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50.38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7"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南通市工伤保险基金管理中心</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420.97</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336.36</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336.36</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420.97</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420.97</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420.97</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0.58</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0.58</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0.58</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0.58</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421.55</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421.55</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421.55</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8"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420.97</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371.90</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336.36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人力资源和社会保障管理事务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336.36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社会保险经办机构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336.36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287.29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84.61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34.23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34.23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南通市工伤保险基金管理中心</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371.90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349.91</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334.44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334.44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0"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420.97</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371.90</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336.36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人力资源和社会保障管理事务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336.36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社会保险经办机构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336.36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287.29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84.61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1"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371.90</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349.91</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334.44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334.44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9.81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0.41</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0.41</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6.20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0.07</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0.07</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2.52</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47</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3"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5"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南通市工伤保险基金管理中心</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eastAsia" w:ascii="仿宋" w:hAnsi="仿宋" w:eastAsia="仿宋" w:cs="仿宋"/>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政府采购支出信息为单位纳入部门预算范围的各项政府采购支出情况。本表金额单位转换时可能存在尾数误差。</w:t>
      </w:r>
      <w:bookmarkStart w:id="0" w:name="_GoBack"/>
      <w:bookmarkEnd w:id="0"/>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南通市工伤保险基金管理中心</w:t>
    </w:r>
    <w:r>
      <w:t>2022年度单位决算公开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WY4ZDRiMDE3Y2ZkYTllOGFhMDIxMjc3NzhmZjY4MTU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BC4DC6"/>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6D48FF"/>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523BB5"/>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50094"/>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B817BE"/>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9D0A15"/>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9</TotalTime>
  <ScaleCrop>false</ScaleCrop>
  <LinksUpToDate>false</LinksUpToDate>
  <CharactersWithSpaces>7672</CharactersWithSpaces>
  <Application>WPS Office_12.1.0.15404_F1E327BC-269C-435d-A152-05C5408002CA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如虎添亿</cp:lastModifiedBy>
  <dcterms:modified xsi:type="dcterms:W3CDTF">2023-09-22T06:50:45Z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2052-12.1.0.15404</vt:lpwstr>
  </property>
  <property fmtid="{D5CDD505-2E9C-101B-9397-08002B2CF9AE}" pid="6" name="LastSaved">
    <vt:filetime>2021-04-15T00:00:00Z</vt:filetime>
  </property>
</Properties>
</file>