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ascii="Times New Roman" w:hAnsi="黑体" w:eastAsia="黑体"/>
          <w:sz w:val="32"/>
          <w:szCs w:val="32"/>
        </w:rPr>
      </w:pPr>
      <w:r>
        <w:rPr>
          <w:rFonts w:hint="eastAsia" w:ascii="Times New Roman" w:hAnsi="黑体" w:eastAsia="黑体"/>
          <w:sz w:val="32"/>
          <w:szCs w:val="32"/>
        </w:rPr>
        <w:t>附件</w:t>
      </w:r>
      <w:r>
        <w:rPr>
          <w:rFonts w:ascii="Times New Roman" w:hAnsi="黑体" w:eastAsia="黑体"/>
          <w:sz w:val="32"/>
          <w:szCs w:val="32"/>
        </w:rPr>
        <w:t>2</w:t>
      </w:r>
    </w:p>
    <w:p>
      <w:pPr>
        <w:spacing w:line="600" w:lineRule="exact"/>
        <w:jc w:val="center"/>
        <w:rPr>
          <w:rFonts w:hint="eastAsia" w:ascii="方正小标宋简体" w:hAnsi="仿宋" w:eastAsia="方正小标宋简体" w:cs="仿宋"/>
          <w:sz w:val="44"/>
          <w:szCs w:val="44"/>
        </w:rPr>
      </w:pPr>
    </w:p>
    <w:p>
      <w:pPr>
        <w:spacing w:line="600" w:lineRule="exact"/>
        <w:jc w:val="center"/>
        <w:rPr>
          <w:rFonts w:ascii="方正小标宋简体" w:hAnsi="仿宋" w:eastAsia="方正小标宋简体" w:cs="仿宋"/>
          <w:sz w:val="44"/>
          <w:szCs w:val="44"/>
        </w:rPr>
      </w:pPr>
      <w:r>
        <w:rPr>
          <w:rFonts w:hint="eastAsia" w:ascii="方正小标宋简体" w:hAnsi="仿宋" w:eastAsia="方正小标宋简体" w:cs="仿宋"/>
          <w:sz w:val="44"/>
          <w:szCs w:val="44"/>
        </w:rPr>
        <w:t>达沙替尼片治疗慢性髓细胞白血病</w:t>
      </w:r>
    </w:p>
    <w:p>
      <w:pPr>
        <w:spacing w:line="600" w:lineRule="exact"/>
        <w:jc w:val="center"/>
        <w:rPr>
          <w:rFonts w:ascii="方正小标宋简体" w:hAnsi="仿宋" w:eastAsia="方正小标宋简体" w:cs="仿宋"/>
          <w:sz w:val="44"/>
          <w:szCs w:val="44"/>
        </w:rPr>
      </w:pPr>
      <w:r>
        <w:rPr>
          <w:rFonts w:hint="eastAsia" w:ascii="方正小标宋简体" w:hAnsi="仿宋" w:eastAsia="方正小标宋简体" w:cs="仿宋"/>
          <w:sz w:val="44"/>
          <w:szCs w:val="44"/>
        </w:rPr>
        <w:t>操作指引</w:t>
      </w:r>
    </w:p>
    <w:p>
      <w:pPr>
        <w:spacing w:line="600" w:lineRule="exact"/>
        <w:jc w:val="left"/>
        <w:rPr>
          <w:rFonts w:ascii="仿宋" w:hAnsi="仿宋" w:eastAsia="仿宋" w:cs="仿宋"/>
          <w:b/>
          <w:sz w:val="32"/>
          <w:szCs w:val="32"/>
        </w:rPr>
      </w:pPr>
    </w:p>
    <w:p>
      <w:pPr>
        <w:spacing w:line="600" w:lineRule="exact"/>
        <w:ind w:firstLine="640" w:firstLineChars="200"/>
        <w:rPr>
          <w:rFonts w:ascii="黑体" w:hAnsi="黑体" w:eastAsia="黑体"/>
          <w:sz w:val="32"/>
          <w:szCs w:val="32"/>
        </w:rPr>
      </w:pPr>
      <w:r>
        <w:rPr>
          <w:rFonts w:ascii="黑体" w:hAnsi="黑体" w:eastAsia="黑体"/>
          <w:sz w:val="32"/>
          <w:szCs w:val="32"/>
        </w:rPr>
        <w:t>一、基本信息</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1</w:t>
      </w:r>
      <w:r>
        <w:rPr>
          <w:rFonts w:hint="eastAsia" w:ascii="Times New Roman" w:hAnsi="仿宋" w:eastAsia="仿宋"/>
          <w:sz w:val="32"/>
          <w:szCs w:val="32"/>
        </w:rPr>
        <w:t>．</w:t>
      </w:r>
      <w:r>
        <w:rPr>
          <w:rFonts w:ascii="Times New Roman" w:hAnsi="仿宋" w:eastAsia="仿宋"/>
          <w:sz w:val="32"/>
          <w:szCs w:val="32"/>
        </w:rPr>
        <w:t>达沙替尼片（施达赛）</w:t>
      </w:r>
    </w:p>
    <w:p>
      <w:pPr>
        <w:spacing w:line="600" w:lineRule="exact"/>
        <w:ind w:firstLine="640" w:firstLineChars="200"/>
        <w:rPr>
          <w:rFonts w:ascii="Times New Roman" w:hAnsi="Times New Roman" w:eastAsia="仿宋"/>
          <w:sz w:val="32"/>
          <w:szCs w:val="32"/>
        </w:rPr>
      </w:pPr>
      <w:r>
        <w:rPr>
          <w:rFonts w:ascii="Times New Roman" w:hAnsi="仿宋" w:eastAsia="仿宋"/>
          <w:sz w:val="32"/>
          <w:szCs w:val="32"/>
        </w:rPr>
        <w:t>产品名称：达沙替尼片（</w:t>
      </w:r>
      <w:r>
        <w:rPr>
          <w:rFonts w:ascii="Times New Roman" w:hAnsi="Times New Roman" w:eastAsia="仿宋"/>
          <w:kern w:val="0"/>
          <w:sz w:val="32"/>
          <w:szCs w:val="32"/>
        </w:rPr>
        <w:t>Dasatinib Tablets</w:t>
      </w:r>
      <w:r>
        <w:rPr>
          <w:rFonts w:ascii="Times New Roman" w:hAnsi="仿宋" w:eastAsia="仿宋"/>
          <w:kern w:val="0"/>
          <w:sz w:val="32"/>
          <w:szCs w:val="32"/>
        </w:rPr>
        <w:t>）</w:t>
      </w:r>
    </w:p>
    <w:p>
      <w:pPr>
        <w:spacing w:line="600" w:lineRule="exact"/>
        <w:ind w:firstLine="640" w:firstLineChars="200"/>
        <w:rPr>
          <w:rFonts w:ascii="Times New Roman" w:hAnsi="Times New Roman" w:eastAsia="仿宋"/>
          <w:sz w:val="32"/>
          <w:szCs w:val="32"/>
        </w:rPr>
      </w:pPr>
      <w:r>
        <w:rPr>
          <w:rFonts w:ascii="Times New Roman" w:hAnsi="仿宋" w:eastAsia="仿宋"/>
          <w:sz w:val="32"/>
          <w:szCs w:val="32"/>
        </w:rPr>
        <w:t>商</w:t>
      </w:r>
      <w:r>
        <w:rPr>
          <w:rFonts w:ascii="Times New Roman" w:hAnsi="Times New Roman" w:eastAsia="仿宋"/>
          <w:sz w:val="32"/>
          <w:szCs w:val="32"/>
        </w:rPr>
        <w:t xml:space="preserve"> </w:t>
      </w:r>
      <w:r>
        <w:rPr>
          <w:rFonts w:ascii="Times New Roman" w:hAnsi="仿宋" w:eastAsia="仿宋"/>
          <w:sz w:val="32"/>
          <w:szCs w:val="32"/>
        </w:rPr>
        <w:t>品</w:t>
      </w:r>
      <w:r>
        <w:rPr>
          <w:rFonts w:ascii="Times New Roman" w:hAnsi="Times New Roman" w:eastAsia="仿宋"/>
          <w:sz w:val="32"/>
          <w:szCs w:val="32"/>
        </w:rPr>
        <w:t xml:space="preserve"> </w:t>
      </w:r>
      <w:r>
        <w:rPr>
          <w:rFonts w:ascii="Times New Roman" w:hAnsi="仿宋" w:eastAsia="仿宋"/>
          <w:sz w:val="32"/>
          <w:szCs w:val="32"/>
        </w:rPr>
        <w:t>名：施达赛</w:t>
      </w:r>
    </w:p>
    <w:p>
      <w:pPr>
        <w:spacing w:line="600" w:lineRule="exact"/>
        <w:ind w:firstLine="640" w:firstLineChars="200"/>
        <w:rPr>
          <w:rFonts w:ascii="Times New Roman" w:hAnsi="Times New Roman" w:eastAsia="仿宋"/>
          <w:sz w:val="32"/>
          <w:szCs w:val="32"/>
        </w:rPr>
      </w:pPr>
      <w:r>
        <w:rPr>
          <w:rFonts w:ascii="Times New Roman" w:hAnsi="仿宋" w:eastAsia="仿宋"/>
          <w:sz w:val="32"/>
          <w:szCs w:val="32"/>
        </w:rPr>
        <w:t>包装规格：</w:t>
      </w:r>
      <w:r>
        <w:rPr>
          <w:rFonts w:ascii="Times New Roman" w:hAnsi="Times New Roman" w:eastAsia="仿宋"/>
          <w:sz w:val="32"/>
          <w:szCs w:val="32"/>
        </w:rPr>
        <w:t>20mg×60</w:t>
      </w:r>
      <w:r>
        <w:rPr>
          <w:rFonts w:ascii="Times New Roman" w:hAnsi="仿宋" w:eastAsia="仿宋"/>
          <w:sz w:val="32"/>
          <w:szCs w:val="32"/>
        </w:rPr>
        <w:t>片</w:t>
      </w:r>
      <w:r>
        <w:rPr>
          <w:rFonts w:ascii="Times New Roman" w:hAnsi="Times New Roman" w:eastAsia="仿宋"/>
          <w:sz w:val="32"/>
          <w:szCs w:val="32"/>
        </w:rPr>
        <w:t>/</w:t>
      </w:r>
      <w:r>
        <w:rPr>
          <w:rFonts w:ascii="Times New Roman" w:hAnsi="仿宋" w:eastAsia="仿宋"/>
          <w:sz w:val="32"/>
          <w:szCs w:val="32"/>
        </w:rPr>
        <w:t>盒，</w:t>
      </w:r>
      <w:r>
        <w:rPr>
          <w:rFonts w:ascii="Times New Roman" w:hAnsi="Times New Roman" w:eastAsia="仿宋"/>
          <w:sz w:val="32"/>
          <w:szCs w:val="32"/>
        </w:rPr>
        <w:t>50mg×60</w:t>
      </w:r>
      <w:r>
        <w:rPr>
          <w:rFonts w:ascii="Times New Roman" w:hAnsi="仿宋" w:eastAsia="仿宋"/>
          <w:sz w:val="32"/>
          <w:szCs w:val="32"/>
        </w:rPr>
        <w:t>片</w:t>
      </w:r>
      <w:r>
        <w:rPr>
          <w:rFonts w:ascii="Times New Roman" w:hAnsi="Times New Roman" w:eastAsia="仿宋"/>
          <w:sz w:val="32"/>
          <w:szCs w:val="32"/>
        </w:rPr>
        <w:t>/</w:t>
      </w:r>
      <w:r>
        <w:rPr>
          <w:rFonts w:ascii="Times New Roman" w:hAnsi="仿宋" w:eastAsia="仿宋"/>
          <w:sz w:val="32"/>
          <w:szCs w:val="32"/>
        </w:rPr>
        <w:t>盒</w:t>
      </w:r>
    </w:p>
    <w:p>
      <w:pPr>
        <w:spacing w:line="600" w:lineRule="exact"/>
        <w:ind w:firstLine="640" w:firstLineChars="200"/>
        <w:rPr>
          <w:rFonts w:ascii="Times New Roman" w:hAnsi="Times New Roman" w:eastAsia="仿宋"/>
          <w:sz w:val="32"/>
          <w:szCs w:val="32"/>
        </w:rPr>
      </w:pPr>
      <w:r>
        <w:rPr>
          <w:rFonts w:ascii="Times New Roman" w:hAnsi="仿宋" w:eastAsia="仿宋"/>
          <w:sz w:val="32"/>
          <w:szCs w:val="32"/>
        </w:rPr>
        <w:t>生产厂商：</w:t>
      </w:r>
      <w:r>
        <w:rPr>
          <w:rFonts w:ascii="Times New Roman" w:hAnsi="Times New Roman" w:eastAsia="仿宋"/>
          <w:sz w:val="32"/>
          <w:szCs w:val="32"/>
        </w:rPr>
        <w:t>Bristol-Myers Squibb Company</w:t>
      </w:r>
    </w:p>
    <w:p>
      <w:pPr>
        <w:spacing w:line="600" w:lineRule="exact"/>
        <w:ind w:firstLine="640" w:firstLineChars="200"/>
        <w:rPr>
          <w:rFonts w:ascii="Times New Roman" w:hAnsi="Times New Roman" w:eastAsia="仿宋"/>
          <w:kern w:val="0"/>
          <w:sz w:val="32"/>
          <w:szCs w:val="32"/>
        </w:rPr>
      </w:pPr>
      <w:r>
        <w:rPr>
          <w:rFonts w:ascii="Times New Roman" w:hAnsi="仿宋" w:eastAsia="仿宋"/>
          <w:sz w:val="32"/>
          <w:szCs w:val="32"/>
        </w:rPr>
        <w:t>注册证号：</w:t>
      </w:r>
      <w:r>
        <w:rPr>
          <w:rFonts w:ascii="Times New Roman" w:hAnsi="Times New Roman" w:eastAsia="仿宋"/>
          <w:kern w:val="0"/>
          <w:sz w:val="32"/>
          <w:szCs w:val="32"/>
        </w:rPr>
        <w:t>H20160432</w:t>
      </w:r>
      <w:r>
        <w:rPr>
          <w:rFonts w:ascii="Times New Roman" w:hAnsi="仿宋" w:eastAsia="仿宋"/>
          <w:kern w:val="0"/>
          <w:sz w:val="32"/>
          <w:szCs w:val="32"/>
        </w:rPr>
        <w:t>，</w:t>
      </w:r>
      <w:r>
        <w:rPr>
          <w:rFonts w:ascii="Times New Roman" w:hAnsi="Times New Roman" w:eastAsia="仿宋"/>
          <w:kern w:val="0"/>
          <w:sz w:val="32"/>
          <w:szCs w:val="32"/>
        </w:rPr>
        <w:t>H20160433</w:t>
      </w:r>
    </w:p>
    <w:p>
      <w:pPr>
        <w:spacing w:line="600" w:lineRule="exact"/>
        <w:ind w:firstLine="640" w:firstLineChars="200"/>
        <w:rPr>
          <w:rFonts w:ascii="Times New Roman" w:hAnsi="Times New Roman" w:eastAsia="仿宋"/>
          <w:kern w:val="0"/>
          <w:sz w:val="32"/>
          <w:szCs w:val="32"/>
        </w:rPr>
      </w:pPr>
      <w:r>
        <w:rPr>
          <w:rFonts w:ascii="Times New Roman" w:hAnsi="仿宋" w:eastAsia="仿宋"/>
          <w:sz w:val="32"/>
          <w:szCs w:val="32"/>
        </w:rPr>
        <w:t>贮</w:t>
      </w:r>
      <w:r>
        <w:rPr>
          <w:rFonts w:ascii="Times New Roman" w:hAnsi="Times New Roman" w:eastAsia="仿宋"/>
          <w:sz w:val="32"/>
          <w:szCs w:val="32"/>
        </w:rPr>
        <w:t xml:space="preserve">    </w:t>
      </w:r>
      <w:r>
        <w:rPr>
          <w:rFonts w:ascii="Times New Roman" w:hAnsi="仿宋" w:eastAsia="仿宋"/>
          <w:sz w:val="32"/>
          <w:szCs w:val="32"/>
        </w:rPr>
        <w:t>藏：</w:t>
      </w:r>
      <w:r>
        <w:rPr>
          <w:rFonts w:ascii="Times New Roman" w:hAnsi="Times New Roman" w:eastAsia="仿宋"/>
          <w:kern w:val="0"/>
          <w:sz w:val="32"/>
          <w:szCs w:val="32"/>
        </w:rPr>
        <w:t>10-30</w:t>
      </w:r>
      <w:r>
        <w:rPr>
          <w:rFonts w:ascii="Times New Roman" w:hAnsi="仿宋" w:eastAsia="仿宋"/>
          <w:kern w:val="0"/>
          <w:sz w:val="32"/>
          <w:szCs w:val="32"/>
        </w:rPr>
        <w:t>℃遮光保存</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2</w:t>
      </w:r>
      <w:r>
        <w:rPr>
          <w:rFonts w:hint="eastAsia" w:ascii="Times New Roman" w:hAnsi="仿宋" w:eastAsia="仿宋"/>
          <w:sz w:val="32"/>
          <w:szCs w:val="32"/>
        </w:rPr>
        <w:t>．</w:t>
      </w:r>
      <w:r>
        <w:rPr>
          <w:rFonts w:ascii="Times New Roman" w:hAnsi="仿宋" w:eastAsia="仿宋"/>
          <w:sz w:val="32"/>
          <w:szCs w:val="32"/>
        </w:rPr>
        <w:t>达沙替尼片（依尼舒）</w:t>
      </w:r>
      <w:r>
        <w:rPr>
          <w:rFonts w:ascii="Times New Roman" w:hAnsi="Times New Roman" w:eastAsia="仿宋"/>
          <w:sz w:val="32"/>
          <w:szCs w:val="32"/>
        </w:rPr>
        <w:t xml:space="preserve"> </w:t>
      </w:r>
    </w:p>
    <w:p>
      <w:pPr>
        <w:spacing w:line="600" w:lineRule="exact"/>
        <w:ind w:firstLine="640" w:firstLineChars="200"/>
        <w:rPr>
          <w:rFonts w:ascii="Times New Roman" w:hAnsi="Times New Roman" w:eastAsia="仿宋"/>
          <w:sz w:val="32"/>
          <w:szCs w:val="32"/>
        </w:rPr>
      </w:pPr>
      <w:r>
        <w:rPr>
          <w:rFonts w:ascii="Times New Roman" w:hAnsi="仿宋" w:eastAsia="仿宋"/>
          <w:sz w:val="32"/>
          <w:szCs w:val="32"/>
        </w:rPr>
        <w:t>产品名称：达沙替尼片（</w:t>
      </w:r>
      <w:r>
        <w:rPr>
          <w:rFonts w:ascii="Times New Roman" w:hAnsi="Times New Roman" w:eastAsia="仿宋"/>
          <w:sz w:val="32"/>
          <w:szCs w:val="32"/>
        </w:rPr>
        <w:t>Dasatinib Tablets</w:t>
      </w:r>
      <w:r>
        <w:rPr>
          <w:rFonts w:ascii="Times New Roman" w:hAnsi="仿宋" w:eastAsia="仿宋"/>
          <w:sz w:val="32"/>
          <w:szCs w:val="32"/>
        </w:rPr>
        <w:t>）</w:t>
      </w:r>
    </w:p>
    <w:p>
      <w:pPr>
        <w:spacing w:line="600" w:lineRule="exact"/>
        <w:ind w:firstLine="640" w:firstLineChars="200"/>
        <w:rPr>
          <w:rFonts w:ascii="Times New Roman" w:hAnsi="Times New Roman" w:eastAsia="仿宋"/>
          <w:sz w:val="32"/>
          <w:szCs w:val="32"/>
        </w:rPr>
      </w:pPr>
      <w:r>
        <w:rPr>
          <w:rFonts w:ascii="Times New Roman" w:hAnsi="仿宋" w:eastAsia="仿宋"/>
          <w:sz w:val="32"/>
          <w:szCs w:val="32"/>
        </w:rPr>
        <w:t>商</w:t>
      </w:r>
      <w:r>
        <w:rPr>
          <w:rFonts w:ascii="Times New Roman" w:hAnsi="Times New Roman" w:eastAsia="仿宋"/>
          <w:sz w:val="32"/>
          <w:szCs w:val="32"/>
        </w:rPr>
        <w:t xml:space="preserve"> </w:t>
      </w:r>
      <w:r>
        <w:rPr>
          <w:rFonts w:ascii="Times New Roman" w:hAnsi="仿宋" w:eastAsia="仿宋"/>
          <w:sz w:val="32"/>
          <w:szCs w:val="32"/>
        </w:rPr>
        <w:t>标</w:t>
      </w:r>
      <w:r>
        <w:rPr>
          <w:rFonts w:ascii="Times New Roman" w:hAnsi="Times New Roman" w:eastAsia="仿宋"/>
          <w:sz w:val="32"/>
          <w:szCs w:val="32"/>
        </w:rPr>
        <w:t xml:space="preserve"> </w:t>
      </w:r>
      <w:r>
        <w:rPr>
          <w:rFonts w:ascii="Times New Roman" w:hAnsi="仿宋" w:eastAsia="仿宋"/>
          <w:sz w:val="32"/>
          <w:szCs w:val="32"/>
        </w:rPr>
        <w:t>名：</w:t>
      </w:r>
      <w:r>
        <w:rPr>
          <w:rFonts w:ascii="Times New Roman" w:hAnsi="仿宋" w:eastAsia="仿宋"/>
          <w:kern w:val="0"/>
          <w:sz w:val="32"/>
          <w:szCs w:val="32"/>
        </w:rPr>
        <w:t>依尼舒</w:t>
      </w:r>
    </w:p>
    <w:p>
      <w:pPr>
        <w:spacing w:line="600" w:lineRule="exact"/>
        <w:ind w:firstLine="640" w:firstLineChars="200"/>
        <w:rPr>
          <w:rFonts w:ascii="Times New Roman" w:hAnsi="Times New Roman" w:eastAsia="仿宋"/>
          <w:kern w:val="0"/>
          <w:sz w:val="32"/>
          <w:szCs w:val="32"/>
        </w:rPr>
      </w:pPr>
      <w:r>
        <w:rPr>
          <w:rFonts w:ascii="Times New Roman" w:hAnsi="仿宋" w:eastAsia="仿宋"/>
          <w:sz w:val="32"/>
          <w:szCs w:val="32"/>
        </w:rPr>
        <w:t>包装规格：</w:t>
      </w:r>
      <w:r>
        <w:rPr>
          <w:rFonts w:ascii="Times New Roman" w:hAnsi="Times New Roman" w:eastAsia="仿宋"/>
          <w:kern w:val="0"/>
          <w:sz w:val="32"/>
          <w:szCs w:val="32"/>
        </w:rPr>
        <w:t>20mg×7</w:t>
      </w:r>
      <w:r>
        <w:rPr>
          <w:rFonts w:ascii="Times New Roman" w:hAnsi="仿宋" w:eastAsia="仿宋"/>
          <w:kern w:val="0"/>
          <w:sz w:val="32"/>
          <w:szCs w:val="32"/>
        </w:rPr>
        <w:t>片</w:t>
      </w:r>
      <w:r>
        <w:rPr>
          <w:rFonts w:ascii="Times New Roman" w:hAnsi="Times New Roman" w:eastAsia="仿宋"/>
          <w:kern w:val="0"/>
          <w:sz w:val="32"/>
          <w:szCs w:val="32"/>
        </w:rPr>
        <w:t>/</w:t>
      </w:r>
      <w:r>
        <w:rPr>
          <w:rFonts w:ascii="Times New Roman" w:hAnsi="仿宋" w:eastAsia="仿宋"/>
          <w:kern w:val="0"/>
          <w:sz w:val="32"/>
          <w:szCs w:val="32"/>
        </w:rPr>
        <w:t>盒，</w:t>
      </w:r>
      <w:r>
        <w:rPr>
          <w:rFonts w:ascii="Times New Roman" w:hAnsi="Times New Roman" w:eastAsia="仿宋"/>
          <w:kern w:val="0"/>
          <w:sz w:val="32"/>
          <w:szCs w:val="32"/>
        </w:rPr>
        <w:t>20mg×56</w:t>
      </w:r>
      <w:r>
        <w:rPr>
          <w:rFonts w:ascii="Times New Roman" w:hAnsi="仿宋" w:eastAsia="仿宋"/>
          <w:kern w:val="0"/>
          <w:sz w:val="32"/>
          <w:szCs w:val="32"/>
        </w:rPr>
        <w:t>片</w:t>
      </w:r>
      <w:r>
        <w:rPr>
          <w:rFonts w:ascii="Times New Roman" w:hAnsi="Times New Roman" w:eastAsia="仿宋"/>
          <w:kern w:val="0"/>
          <w:sz w:val="32"/>
          <w:szCs w:val="32"/>
        </w:rPr>
        <w:t>/</w:t>
      </w:r>
      <w:r>
        <w:rPr>
          <w:rFonts w:ascii="Times New Roman" w:hAnsi="仿宋" w:eastAsia="仿宋"/>
          <w:kern w:val="0"/>
          <w:sz w:val="32"/>
          <w:szCs w:val="32"/>
        </w:rPr>
        <w:t>盒</w:t>
      </w:r>
    </w:p>
    <w:p>
      <w:pPr>
        <w:spacing w:line="600" w:lineRule="exact"/>
        <w:ind w:firstLine="640" w:firstLineChars="200"/>
        <w:rPr>
          <w:rFonts w:ascii="Times New Roman" w:hAnsi="Times New Roman" w:eastAsia="仿宋"/>
          <w:sz w:val="32"/>
          <w:szCs w:val="32"/>
        </w:rPr>
      </w:pPr>
      <w:r>
        <w:rPr>
          <w:rFonts w:ascii="Times New Roman" w:hAnsi="Times New Roman" w:eastAsia="仿宋"/>
          <w:kern w:val="0"/>
          <w:sz w:val="32"/>
          <w:szCs w:val="32"/>
        </w:rPr>
        <w:t>50mg×7</w:t>
      </w:r>
      <w:r>
        <w:rPr>
          <w:rFonts w:ascii="Times New Roman" w:hAnsi="仿宋" w:eastAsia="仿宋"/>
          <w:kern w:val="0"/>
          <w:sz w:val="32"/>
          <w:szCs w:val="32"/>
        </w:rPr>
        <w:t>片</w:t>
      </w:r>
      <w:r>
        <w:rPr>
          <w:rFonts w:ascii="Times New Roman" w:hAnsi="Times New Roman" w:eastAsia="仿宋"/>
          <w:kern w:val="0"/>
          <w:sz w:val="32"/>
          <w:szCs w:val="32"/>
        </w:rPr>
        <w:t>/</w:t>
      </w:r>
      <w:r>
        <w:rPr>
          <w:rFonts w:ascii="Times New Roman" w:hAnsi="仿宋" w:eastAsia="仿宋"/>
          <w:kern w:val="0"/>
          <w:sz w:val="32"/>
          <w:szCs w:val="32"/>
        </w:rPr>
        <w:t>盒，</w:t>
      </w:r>
      <w:r>
        <w:rPr>
          <w:rFonts w:ascii="Times New Roman" w:hAnsi="Times New Roman" w:eastAsia="仿宋"/>
          <w:kern w:val="0"/>
          <w:sz w:val="32"/>
          <w:szCs w:val="32"/>
        </w:rPr>
        <w:t>50mg×56</w:t>
      </w:r>
      <w:r>
        <w:rPr>
          <w:rFonts w:ascii="Times New Roman" w:hAnsi="仿宋" w:eastAsia="仿宋"/>
          <w:kern w:val="0"/>
          <w:sz w:val="32"/>
          <w:szCs w:val="32"/>
        </w:rPr>
        <w:t>片</w:t>
      </w:r>
      <w:r>
        <w:rPr>
          <w:rFonts w:ascii="Times New Roman" w:hAnsi="Times New Roman" w:eastAsia="仿宋"/>
          <w:kern w:val="0"/>
          <w:sz w:val="32"/>
          <w:szCs w:val="32"/>
        </w:rPr>
        <w:t>/</w:t>
      </w:r>
      <w:r>
        <w:rPr>
          <w:rFonts w:ascii="Times New Roman" w:hAnsi="仿宋" w:eastAsia="仿宋"/>
          <w:kern w:val="0"/>
          <w:sz w:val="32"/>
          <w:szCs w:val="32"/>
        </w:rPr>
        <w:t>盒</w:t>
      </w:r>
    </w:p>
    <w:p>
      <w:pPr>
        <w:spacing w:line="600" w:lineRule="exact"/>
        <w:ind w:firstLine="640" w:firstLineChars="200"/>
        <w:rPr>
          <w:rFonts w:ascii="Times New Roman" w:hAnsi="Times New Roman" w:eastAsia="仿宋"/>
          <w:sz w:val="32"/>
          <w:szCs w:val="32"/>
        </w:rPr>
      </w:pPr>
      <w:r>
        <w:rPr>
          <w:rFonts w:ascii="Times New Roman" w:hAnsi="仿宋" w:eastAsia="仿宋"/>
          <w:sz w:val="32"/>
          <w:szCs w:val="32"/>
        </w:rPr>
        <w:t>生产厂商：正大天晴药业集团股份有限公司</w:t>
      </w:r>
    </w:p>
    <w:p>
      <w:pPr>
        <w:spacing w:line="600" w:lineRule="exact"/>
        <w:ind w:firstLine="640" w:firstLineChars="200"/>
        <w:rPr>
          <w:rFonts w:ascii="Times New Roman" w:hAnsi="Times New Roman" w:eastAsia="仿宋"/>
          <w:kern w:val="0"/>
          <w:sz w:val="32"/>
          <w:szCs w:val="32"/>
        </w:rPr>
      </w:pPr>
      <w:r>
        <w:rPr>
          <w:rFonts w:ascii="Times New Roman" w:hAnsi="仿宋" w:eastAsia="仿宋"/>
          <w:kern w:val="0"/>
          <w:sz w:val="32"/>
          <w:szCs w:val="32"/>
        </w:rPr>
        <w:t>国药准字：</w:t>
      </w:r>
      <w:r>
        <w:rPr>
          <w:rFonts w:ascii="Times New Roman" w:hAnsi="Times New Roman" w:eastAsia="仿宋"/>
          <w:kern w:val="0"/>
          <w:sz w:val="32"/>
          <w:szCs w:val="32"/>
        </w:rPr>
        <w:t xml:space="preserve"> H20133271</w:t>
      </w:r>
      <w:r>
        <w:rPr>
          <w:rFonts w:ascii="Times New Roman" w:hAnsi="仿宋" w:eastAsia="仿宋"/>
          <w:kern w:val="0"/>
          <w:sz w:val="32"/>
          <w:szCs w:val="32"/>
        </w:rPr>
        <w:t>，</w:t>
      </w:r>
      <w:r>
        <w:rPr>
          <w:rFonts w:ascii="Times New Roman" w:hAnsi="Times New Roman" w:eastAsia="仿宋"/>
          <w:kern w:val="0"/>
          <w:sz w:val="32"/>
          <w:szCs w:val="32"/>
        </w:rPr>
        <w:t>H20133272</w:t>
      </w:r>
    </w:p>
    <w:p>
      <w:pPr>
        <w:spacing w:line="600" w:lineRule="exact"/>
        <w:ind w:firstLine="640" w:firstLineChars="200"/>
        <w:rPr>
          <w:rFonts w:ascii="Times New Roman" w:hAnsi="Times New Roman" w:eastAsia="仿宋"/>
          <w:kern w:val="0"/>
          <w:sz w:val="32"/>
          <w:szCs w:val="32"/>
        </w:rPr>
      </w:pPr>
      <w:r>
        <w:rPr>
          <w:rFonts w:ascii="Times New Roman" w:hAnsi="仿宋" w:eastAsia="仿宋"/>
          <w:sz w:val="32"/>
          <w:szCs w:val="32"/>
        </w:rPr>
        <w:t>贮</w:t>
      </w:r>
      <w:r>
        <w:rPr>
          <w:rFonts w:ascii="Times New Roman" w:hAnsi="Times New Roman" w:eastAsia="仿宋"/>
          <w:sz w:val="32"/>
          <w:szCs w:val="32"/>
        </w:rPr>
        <w:t xml:space="preserve">    </w:t>
      </w:r>
      <w:r>
        <w:rPr>
          <w:rFonts w:ascii="Times New Roman" w:hAnsi="仿宋" w:eastAsia="仿宋"/>
          <w:sz w:val="32"/>
          <w:szCs w:val="32"/>
        </w:rPr>
        <w:t>藏：</w:t>
      </w:r>
      <w:r>
        <w:rPr>
          <w:rFonts w:ascii="Times New Roman" w:hAnsi="Times New Roman" w:eastAsia="仿宋"/>
          <w:kern w:val="0"/>
          <w:sz w:val="32"/>
          <w:szCs w:val="32"/>
        </w:rPr>
        <w:t>10-30</w:t>
      </w:r>
      <w:r>
        <w:rPr>
          <w:rFonts w:ascii="Times New Roman" w:hAnsi="仿宋" w:eastAsia="仿宋"/>
          <w:kern w:val="0"/>
          <w:sz w:val="32"/>
          <w:szCs w:val="32"/>
        </w:rPr>
        <w:t>℃遮光保存</w:t>
      </w:r>
    </w:p>
    <w:p>
      <w:pPr>
        <w:spacing w:line="600" w:lineRule="exact"/>
        <w:ind w:firstLine="640" w:firstLineChars="200"/>
        <w:rPr>
          <w:rFonts w:ascii="Times New Roman" w:hAnsi="Times New Roman" w:eastAsia="仿宋"/>
          <w:sz w:val="32"/>
          <w:szCs w:val="32"/>
        </w:rPr>
      </w:pPr>
      <w:r>
        <w:rPr>
          <w:rFonts w:ascii="Times New Roman" w:hAnsi="仿宋" w:eastAsia="仿宋"/>
          <w:kern w:val="0"/>
          <w:sz w:val="32"/>
          <w:szCs w:val="32"/>
        </w:rPr>
        <w:t>慈善合作组织（机构）</w:t>
      </w:r>
      <w:r>
        <w:rPr>
          <w:rFonts w:ascii="Times New Roman" w:hAnsi="仿宋" w:eastAsia="仿宋"/>
          <w:sz w:val="32"/>
          <w:szCs w:val="32"/>
        </w:rPr>
        <w:t>：北京康盟慈善基金会</w:t>
      </w:r>
    </w:p>
    <w:p>
      <w:pPr>
        <w:spacing w:line="600" w:lineRule="exact"/>
        <w:ind w:firstLine="640" w:firstLineChars="200"/>
        <w:rPr>
          <w:rFonts w:ascii="黑体" w:hAnsi="黑体" w:eastAsia="黑体"/>
          <w:sz w:val="32"/>
          <w:szCs w:val="32"/>
        </w:rPr>
      </w:pPr>
      <w:r>
        <w:rPr>
          <w:rFonts w:ascii="黑体" w:hAnsi="黑体" w:eastAsia="黑体"/>
          <w:sz w:val="32"/>
          <w:szCs w:val="32"/>
        </w:rPr>
        <w:t>二、医保基金支付适应症</w:t>
      </w:r>
    </w:p>
    <w:p>
      <w:pPr>
        <w:spacing w:line="600" w:lineRule="exact"/>
        <w:ind w:firstLine="640" w:firstLineChars="200"/>
        <w:rPr>
          <w:rFonts w:ascii="Times New Roman" w:hAnsi="Times New Roman" w:eastAsia="仿宋"/>
          <w:sz w:val="32"/>
          <w:szCs w:val="32"/>
        </w:rPr>
      </w:pPr>
      <w:r>
        <w:rPr>
          <w:rFonts w:ascii="Times New Roman" w:hAnsi="仿宋" w:eastAsia="仿宋"/>
          <w:sz w:val="32"/>
          <w:szCs w:val="32"/>
        </w:rPr>
        <w:t>限对伊马替尼耐药或不耐受的慢性髓细胞白血病患者。</w:t>
      </w:r>
    </w:p>
    <w:p>
      <w:pPr>
        <w:spacing w:line="600" w:lineRule="exact"/>
        <w:ind w:firstLine="640" w:firstLineChars="200"/>
        <w:rPr>
          <w:rFonts w:ascii="黑体" w:hAnsi="黑体" w:eastAsia="黑体"/>
          <w:sz w:val="32"/>
          <w:szCs w:val="32"/>
        </w:rPr>
      </w:pPr>
      <w:r>
        <w:rPr>
          <w:rFonts w:ascii="黑体" w:hAnsi="黑体" w:eastAsia="黑体"/>
          <w:sz w:val="32"/>
          <w:szCs w:val="32"/>
        </w:rPr>
        <w:t>三、医学标准</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1</w:t>
      </w:r>
      <w:r>
        <w:rPr>
          <w:rFonts w:hint="eastAsia" w:ascii="Times New Roman" w:hAnsi="仿宋" w:eastAsia="仿宋"/>
          <w:sz w:val="32"/>
          <w:szCs w:val="32"/>
        </w:rPr>
        <w:t>．</w:t>
      </w:r>
      <w:r>
        <w:rPr>
          <w:rFonts w:ascii="Times New Roman" w:hAnsi="仿宋" w:eastAsia="仿宋"/>
          <w:sz w:val="32"/>
          <w:szCs w:val="32"/>
        </w:rPr>
        <w:t>诊断标准</w:t>
      </w:r>
    </w:p>
    <w:p>
      <w:pPr>
        <w:spacing w:line="600" w:lineRule="exact"/>
        <w:ind w:firstLine="640" w:firstLineChars="200"/>
        <w:rPr>
          <w:rFonts w:ascii="Times New Roman" w:hAnsi="Times New Roman" w:eastAsia="仿宋"/>
          <w:sz w:val="32"/>
          <w:szCs w:val="32"/>
        </w:rPr>
      </w:pPr>
      <w:r>
        <w:rPr>
          <w:rFonts w:ascii="Times New Roman" w:hAnsi="仿宋" w:eastAsia="仿宋"/>
          <w:sz w:val="32"/>
          <w:szCs w:val="32"/>
        </w:rPr>
        <w:t>典型的临床表现，合并</w:t>
      </w:r>
      <w:r>
        <w:rPr>
          <w:rFonts w:ascii="Times New Roman" w:hAnsi="Times New Roman" w:eastAsia="仿宋"/>
          <w:sz w:val="32"/>
          <w:szCs w:val="32"/>
        </w:rPr>
        <w:t>Ph</w:t>
      </w:r>
      <w:r>
        <w:rPr>
          <w:rFonts w:ascii="Times New Roman" w:hAnsi="仿宋" w:eastAsia="仿宋"/>
          <w:sz w:val="32"/>
          <w:szCs w:val="32"/>
        </w:rPr>
        <w:t>染色体和（或）</w:t>
      </w:r>
      <w:r>
        <w:rPr>
          <w:rFonts w:ascii="Times New Roman" w:hAnsi="Times New Roman" w:eastAsia="仿宋"/>
          <w:sz w:val="32"/>
          <w:szCs w:val="32"/>
        </w:rPr>
        <w:t>BCR-ABL</w:t>
      </w:r>
      <w:r>
        <w:rPr>
          <w:rFonts w:ascii="Times New Roman" w:hAnsi="仿宋" w:eastAsia="仿宋"/>
          <w:sz w:val="32"/>
          <w:szCs w:val="32"/>
        </w:rPr>
        <w:t>融合基因阳性即可确定诊断。</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2</w:t>
      </w:r>
      <w:r>
        <w:rPr>
          <w:rFonts w:hint="eastAsia" w:ascii="Times New Roman" w:hAnsi="仿宋" w:eastAsia="仿宋"/>
          <w:sz w:val="32"/>
          <w:szCs w:val="32"/>
        </w:rPr>
        <w:t>．</w:t>
      </w:r>
      <w:r>
        <w:rPr>
          <w:rFonts w:ascii="Times New Roman" w:hAnsi="Times New Roman" w:eastAsia="仿宋"/>
          <w:sz w:val="32"/>
          <w:szCs w:val="32"/>
        </w:rPr>
        <w:t>CML</w:t>
      </w:r>
      <w:r>
        <w:rPr>
          <w:rFonts w:ascii="Times New Roman" w:hAnsi="仿宋" w:eastAsia="仿宋"/>
          <w:sz w:val="32"/>
          <w:szCs w:val="32"/>
        </w:rPr>
        <w:t>的分期</w:t>
      </w:r>
    </w:p>
    <w:p>
      <w:pPr>
        <w:spacing w:line="600" w:lineRule="exact"/>
        <w:ind w:firstLine="640" w:firstLineChars="200"/>
        <w:rPr>
          <w:rFonts w:ascii="Times New Roman" w:hAnsi="Times New Roman" w:eastAsia="仿宋"/>
          <w:sz w:val="32"/>
          <w:szCs w:val="32"/>
        </w:rPr>
      </w:pPr>
      <w:r>
        <w:rPr>
          <w:rFonts w:ascii="Times New Roman" w:hAnsi="仿宋" w:eastAsia="仿宋"/>
          <w:sz w:val="32"/>
          <w:szCs w:val="32"/>
        </w:rPr>
        <w:t>⑴慢性期：①外周血或骨髓中原始细胞＜</w:t>
      </w:r>
      <w:r>
        <w:rPr>
          <w:rFonts w:ascii="Times New Roman" w:hAnsi="Times New Roman" w:eastAsia="仿宋"/>
          <w:sz w:val="32"/>
          <w:szCs w:val="32"/>
        </w:rPr>
        <w:t>0.10</w:t>
      </w:r>
      <w:r>
        <w:rPr>
          <w:rFonts w:ascii="Times New Roman" w:hAnsi="仿宋" w:eastAsia="仿宋"/>
          <w:sz w:val="32"/>
          <w:szCs w:val="32"/>
        </w:rPr>
        <w:t>；②未达到诊断加速期或急变期的标准。</w:t>
      </w:r>
    </w:p>
    <w:p>
      <w:pPr>
        <w:spacing w:line="600" w:lineRule="exact"/>
        <w:ind w:firstLine="640" w:firstLineChars="200"/>
        <w:rPr>
          <w:rFonts w:ascii="Times New Roman" w:hAnsi="Times New Roman" w:eastAsia="仿宋"/>
          <w:sz w:val="32"/>
          <w:szCs w:val="32"/>
          <w:highlight w:val="yellow"/>
        </w:rPr>
      </w:pPr>
      <w:r>
        <w:rPr>
          <w:rFonts w:ascii="Times New Roman" w:hAnsi="仿宋" w:eastAsia="仿宋"/>
          <w:sz w:val="32"/>
          <w:szCs w:val="32"/>
        </w:rPr>
        <w:t>⑵加速期：符合下列任何一项：①外周血或骨髓中原始细胞占</w:t>
      </w:r>
      <w:r>
        <w:rPr>
          <w:rFonts w:ascii="Times New Roman" w:hAnsi="Times New Roman" w:eastAsia="仿宋"/>
          <w:sz w:val="32"/>
          <w:szCs w:val="32"/>
        </w:rPr>
        <w:t>0.10</w:t>
      </w:r>
      <w:r>
        <w:rPr>
          <w:rFonts w:ascii="Times New Roman" w:hAnsi="仿宋" w:eastAsia="仿宋"/>
          <w:sz w:val="32"/>
          <w:szCs w:val="32"/>
        </w:rPr>
        <w:t>～</w:t>
      </w:r>
      <w:r>
        <w:rPr>
          <w:rFonts w:ascii="Times New Roman" w:hAnsi="Times New Roman" w:eastAsia="仿宋"/>
          <w:sz w:val="32"/>
          <w:szCs w:val="32"/>
        </w:rPr>
        <w:t>0.19</w:t>
      </w:r>
      <w:r>
        <w:rPr>
          <w:rFonts w:ascii="Times New Roman" w:hAnsi="仿宋" w:eastAsia="仿宋"/>
          <w:sz w:val="32"/>
          <w:szCs w:val="32"/>
        </w:rPr>
        <w:t>；②外周血嗜碱粒细胞</w:t>
      </w:r>
      <w:r>
        <w:rPr>
          <w:rFonts w:ascii="Times New Roman" w:hAnsi="Times New Roman" w:eastAsia="仿宋"/>
          <w:sz w:val="32"/>
          <w:szCs w:val="32"/>
        </w:rPr>
        <w:t>≥0.20</w:t>
      </w:r>
      <w:r>
        <w:rPr>
          <w:rFonts w:ascii="Times New Roman" w:hAnsi="仿宋" w:eastAsia="仿宋"/>
          <w:sz w:val="32"/>
          <w:szCs w:val="32"/>
        </w:rPr>
        <w:t>；③与治疗无关的持续血小板减少（</w:t>
      </w:r>
      <w:r>
        <w:rPr>
          <w:rFonts w:ascii="Times New Roman" w:hAnsi="Times New Roman" w:eastAsia="仿宋"/>
          <w:sz w:val="32"/>
          <w:szCs w:val="32"/>
        </w:rPr>
        <w:t>PLT</w:t>
      </w:r>
      <w:r>
        <w:rPr>
          <w:rFonts w:ascii="Times New Roman" w:hAnsi="仿宋" w:eastAsia="仿宋"/>
          <w:sz w:val="32"/>
          <w:szCs w:val="32"/>
        </w:rPr>
        <w:t>＜</w:t>
      </w:r>
      <w:r>
        <w:rPr>
          <w:rFonts w:ascii="Times New Roman" w:hAnsi="Times New Roman" w:eastAsia="仿宋"/>
          <w:sz w:val="32"/>
          <w:szCs w:val="32"/>
        </w:rPr>
        <w:t>100×10</w:t>
      </w:r>
      <w:r>
        <w:rPr>
          <w:rFonts w:ascii="Times New Roman" w:hAnsi="Times New Roman" w:eastAsia="仿宋"/>
          <w:sz w:val="32"/>
          <w:szCs w:val="32"/>
          <w:vertAlign w:val="superscript"/>
        </w:rPr>
        <w:t>9</w:t>
      </w:r>
      <w:r>
        <w:rPr>
          <w:rFonts w:ascii="Times New Roman" w:hAnsi="Times New Roman" w:eastAsia="仿宋"/>
          <w:sz w:val="32"/>
          <w:szCs w:val="32"/>
        </w:rPr>
        <w:t>/L</w:t>
      </w:r>
      <w:r>
        <w:rPr>
          <w:rFonts w:ascii="Times New Roman" w:hAnsi="仿宋" w:eastAsia="仿宋"/>
          <w:sz w:val="32"/>
          <w:szCs w:val="32"/>
        </w:rPr>
        <w:t>）或增高（</w:t>
      </w:r>
      <w:r>
        <w:rPr>
          <w:rFonts w:ascii="Times New Roman" w:hAnsi="Times New Roman" w:eastAsia="仿宋"/>
          <w:sz w:val="32"/>
          <w:szCs w:val="32"/>
        </w:rPr>
        <w:t>PLT</w:t>
      </w:r>
      <w:r>
        <w:rPr>
          <w:rFonts w:ascii="Times New Roman" w:hAnsi="仿宋" w:eastAsia="仿宋"/>
          <w:sz w:val="32"/>
          <w:szCs w:val="32"/>
        </w:rPr>
        <w:t>＞</w:t>
      </w:r>
      <w:r>
        <w:rPr>
          <w:rFonts w:ascii="Times New Roman" w:hAnsi="Times New Roman" w:eastAsia="仿宋"/>
          <w:sz w:val="32"/>
          <w:szCs w:val="32"/>
        </w:rPr>
        <w:t>1000×10</w:t>
      </w:r>
      <w:r>
        <w:rPr>
          <w:rFonts w:ascii="Times New Roman" w:hAnsi="Times New Roman" w:eastAsia="仿宋"/>
          <w:sz w:val="32"/>
          <w:szCs w:val="32"/>
          <w:vertAlign w:val="superscript"/>
        </w:rPr>
        <w:t>9</w:t>
      </w:r>
      <w:r>
        <w:rPr>
          <w:rFonts w:ascii="Times New Roman" w:hAnsi="Times New Roman" w:eastAsia="仿宋"/>
          <w:sz w:val="32"/>
          <w:szCs w:val="32"/>
        </w:rPr>
        <w:t>/L</w:t>
      </w:r>
      <w:r>
        <w:rPr>
          <w:rFonts w:ascii="Times New Roman" w:hAnsi="仿宋" w:eastAsia="仿宋"/>
          <w:sz w:val="32"/>
          <w:szCs w:val="32"/>
        </w:rPr>
        <w:t>）；④克隆演变；⑤进行性脾脏增大或白细胞计数增高。</w:t>
      </w:r>
    </w:p>
    <w:p>
      <w:pPr>
        <w:spacing w:line="600" w:lineRule="exact"/>
        <w:ind w:firstLine="640" w:firstLineChars="200"/>
        <w:rPr>
          <w:rFonts w:ascii="Times New Roman" w:hAnsi="Times New Roman" w:eastAsia="仿宋"/>
          <w:sz w:val="32"/>
          <w:szCs w:val="32"/>
        </w:rPr>
      </w:pPr>
      <w:r>
        <w:rPr>
          <w:rFonts w:ascii="Times New Roman" w:hAnsi="仿宋" w:eastAsia="仿宋"/>
          <w:sz w:val="32"/>
          <w:szCs w:val="32"/>
        </w:rPr>
        <w:t>⑶急变期：符合下列任何一项：①外周血或骨髓中原始细胞</w:t>
      </w:r>
      <w:r>
        <w:rPr>
          <w:rFonts w:ascii="Times New Roman" w:hAnsi="Times New Roman" w:eastAsia="仿宋"/>
          <w:sz w:val="32"/>
          <w:szCs w:val="32"/>
        </w:rPr>
        <w:t>≥0.20</w:t>
      </w:r>
      <w:r>
        <w:rPr>
          <w:rFonts w:ascii="Times New Roman" w:hAnsi="仿宋" w:eastAsia="仿宋"/>
          <w:sz w:val="32"/>
          <w:szCs w:val="32"/>
        </w:rPr>
        <w:t>；②骨髓活检原始细胞聚集；③髓外原始细胞浸润。</w:t>
      </w:r>
    </w:p>
    <w:p>
      <w:pPr>
        <w:spacing w:line="600" w:lineRule="exact"/>
        <w:ind w:firstLine="640" w:firstLineChars="200"/>
        <w:rPr>
          <w:rFonts w:ascii="Times New Roman" w:hAnsi="Times New Roman" w:eastAsia="仿宋"/>
          <w:b/>
          <w:sz w:val="32"/>
          <w:szCs w:val="32"/>
        </w:rPr>
      </w:pPr>
      <w:r>
        <w:rPr>
          <w:rFonts w:ascii="Times New Roman" w:hAnsi="仿宋" w:eastAsia="仿宋"/>
          <w:b/>
          <w:sz w:val="32"/>
          <w:szCs w:val="32"/>
        </w:rPr>
        <w:t>以上检查必须在三级甲等医院进行或由责任医师复核。</w:t>
      </w:r>
    </w:p>
    <w:p>
      <w:pPr>
        <w:spacing w:line="600" w:lineRule="exact"/>
        <w:ind w:firstLine="640" w:firstLineChars="200"/>
        <w:rPr>
          <w:rFonts w:ascii="黑体" w:hAnsi="黑体" w:eastAsia="黑体"/>
          <w:sz w:val="32"/>
          <w:szCs w:val="32"/>
        </w:rPr>
      </w:pPr>
      <w:r>
        <w:rPr>
          <w:rFonts w:ascii="黑体" w:hAnsi="黑体" w:eastAsia="黑体"/>
          <w:sz w:val="32"/>
          <w:szCs w:val="32"/>
        </w:rPr>
        <w:t>四、特药待遇</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1</w:t>
      </w:r>
      <w:r>
        <w:rPr>
          <w:rFonts w:hint="eastAsia" w:ascii="Times New Roman" w:hAnsi="仿宋" w:eastAsia="仿宋"/>
          <w:sz w:val="32"/>
          <w:szCs w:val="32"/>
        </w:rPr>
        <w:t>．</w:t>
      </w:r>
      <w:r>
        <w:rPr>
          <w:rFonts w:ascii="Times New Roman" w:hAnsi="仿宋" w:eastAsia="仿宋"/>
          <w:sz w:val="32"/>
          <w:szCs w:val="32"/>
        </w:rPr>
        <w:t>达沙替尼的一个治疗周期为</w:t>
      </w:r>
      <w:r>
        <w:rPr>
          <w:rFonts w:ascii="Times New Roman" w:hAnsi="Times New Roman" w:eastAsia="仿宋"/>
          <w:sz w:val="32"/>
          <w:szCs w:val="32"/>
        </w:rPr>
        <w:t>12</w:t>
      </w:r>
      <w:r>
        <w:rPr>
          <w:rFonts w:ascii="Times New Roman" w:hAnsi="仿宋" w:eastAsia="仿宋"/>
          <w:sz w:val="32"/>
          <w:szCs w:val="32"/>
        </w:rPr>
        <w:t>个月。</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2</w:t>
      </w:r>
      <w:r>
        <w:rPr>
          <w:rFonts w:hint="eastAsia" w:ascii="Times New Roman" w:hAnsi="仿宋" w:eastAsia="仿宋"/>
          <w:sz w:val="32"/>
          <w:szCs w:val="32"/>
        </w:rPr>
        <w:t>．</w:t>
      </w:r>
      <w:r>
        <w:rPr>
          <w:rFonts w:ascii="Times New Roman" w:hAnsi="Times New Roman" w:eastAsia="仿宋"/>
          <w:sz w:val="32"/>
          <w:szCs w:val="32"/>
        </w:rPr>
        <w:t>CML</w:t>
      </w:r>
      <w:r>
        <w:rPr>
          <w:rFonts w:ascii="Times New Roman" w:hAnsi="仿宋" w:eastAsia="仿宋"/>
          <w:sz w:val="32"/>
          <w:szCs w:val="32"/>
        </w:rPr>
        <w:t>慢性期达沙替尼剂量为</w:t>
      </w:r>
      <w:r>
        <w:rPr>
          <w:rFonts w:ascii="Times New Roman" w:hAnsi="Times New Roman" w:eastAsia="仿宋"/>
          <w:sz w:val="32"/>
          <w:szCs w:val="32"/>
        </w:rPr>
        <w:t>100mg/</w:t>
      </w:r>
      <w:r>
        <w:rPr>
          <w:rFonts w:ascii="Times New Roman" w:hAnsi="仿宋" w:eastAsia="仿宋"/>
          <w:sz w:val="32"/>
          <w:szCs w:val="32"/>
        </w:rPr>
        <w:t>日，加速期、急变期可增至</w:t>
      </w:r>
      <w:r>
        <w:rPr>
          <w:rFonts w:ascii="Times New Roman" w:hAnsi="Times New Roman" w:eastAsia="仿宋"/>
          <w:sz w:val="32"/>
          <w:szCs w:val="32"/>
        </w:rPr>
        <w:t>140mg/</w:t>
      </w:r>
      <w:r>
        <w:rPr>
          <w:rFonts w:ascii="Times New Roman" w:hAnsi="仿宋" w:eastAsia="仿宋"/>
          <w:sz w:val="32"/>
          <w:szCs w:val="32"/>
        </w:rPr>
        <w:t>日。自特药待遇申请之日起，医保基金和参保患者根据患者每日服用量共同承担一个治疗周期内的药品费用。</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3</w:t>
      </w:r>
      <w:r>
        <w:rPr>
          <w:rFonts w:hint="eastAsia" w:ascii="Times New Roman" w:hAnsi="仿宋" w:eastAsia="仿宋"/>
          <w:sz w:val="32"/>
          <w:szCs w:val="32"/>
        </w:rPr>
        <w:t>．</w:t>
      </w:r>
      <w:r>
        <w:rPr>
          <w:rFonts w:ascii="Times New Roman" w:hAnsi="仿宋" w:eastAsia="仿宋"/>
          <w:sz w:val="32"/>
          <w:szCs w:val="32"/>
        </w:rPr>
        <w:t>符合江苏省政府办公厅《关于进一步完善医疗救助制度的实施意见》（苏政办发</w:t>
      </w:r>
      <w:r>
        <w:rPr>
          <w:rFonts w:ascii="Times New Roman" w:hAnsi="仿宋" w:eastAsia="仿宋"/>
          <w:kern w:val="0"/>
          <w:sz w:val="32"/>
          <w:szCs w:val="32"/>
        </w:rPr>
        <w:t>〔</w:t>
      </w:r>
      <w:r>
        <w:rPr>
          <w:rFonts w:ascii="Times New Roman" w:hAnsi="Times New Roman" w:eastAsia="仿宋"/>
          <w:sz w:val="32"/>
          <w:szCs w:val="32"/>
        </w:rPr>
        <w:t>2015</w:t>
      </w:r>
      <w:r>
        <w:rPr>
          <w:rFonts w:ascii="Times New Roman" w:hAnsi="仿宋" w:eastAsia="仿宋"/>
          <w:kern w:val="0"/>
          <w:sz w:val="32"/>
          <w:szCs w:val="32"/>
        </w:rPr>
        <w:t>〕</w:t>
      </w:r>
      <w:r>
        <w:rPr>
          <w:rFonts w:ascii="Times New Roman" w:hAnsi="Times New Roman" w:eastAsia="仿宋"/>
          <w:sz w:val="32"/>
          <w:szCs w:val="32"/>
        </w:rPr>
        <w:t>135</w:t>
      </w:r>
      <w:r>
        <w:rPr>
          <w:rFonts w:ascii="Times New Roman" w:hAnsi="仿宋" w:eastAsia="仿宋"/>
          <w:sz w:val="32"/>
          <w:szCs w:val="32"/>
        </w:rPr>
        <w:t>号）文件规定的重点医疗救助对象（最低生活保障家庭成员、特困供养人员、具有当地户籍的临时救助对象中的大重病患者、享受民政部门定期定量生活补助费的</w:t>
      </w:r>
      <w:r>
        <w:rPr>
          <w:rFonts w:ascii="Times New Roman" w:hAnsi="Times New Roman" w:eastAsia="仿宋"/>
          <w:sz w:val="32"/>
          <w:szCs w:val="32"/>
        </w:rPr>
        <w:t>20</w:t>
      </w:r>
      <w:r>
        <w:rPr>
          <w:rFonts w:ascii="Times New Roman" w:hAnsi="仿宋" w:eastAsia="仿宋"/>
          <w:sz w:val="32"/>
          <w:szCs w:val="32"/>
        </w:rPr>
        <w:t>世纪</w:t>
      </w:r>
      <w:r>
        <w:rPr>
          <w:rFonts w:ascii="Times New Roman" w:hAnsi="Times New Roman" w:eastAsia="仿宋"/>
          <w:sz w:val="32"/>
          <w:szCs w:val="32"/>
        </w:rPr>
        <w:t>60</w:t>
      </w:r>
      <w:r>
        <w:rPr>
          <w:rFonts w:ascii="Times New Roman" w:hAnsi="仿宋" w:eastAsia="仿宋"/>
          <w:sz w:val="32"/>
          <w:szCs w:val="32"/>
        </w:rPr>
        <w:t>年代精减退职职工、重点优抚对象、享受政府基本生活保障的孤儿和设区的市、县（市、区）总工会核定的特困职工），使用</w:t>
      </w:r>
      <w:r>
        <w:rPr>
          <w:rFonts w:ascii="Times New Roman" w:hAnsi="仿宋" w:eastAsia="仿宋"/>
          <w:kern w:val="0"/>
          <w:sz w:val="32"/>
          <w:szCs w:val="32"/>
        </w:rPr>
        <w:t>依尼舒</w:t>
      </w:r>
      <w:r>
        <w:rPr>
          <w:rFonts w:ascii="Times New Roman" w:hAnsi="仿宋" w:eastAsia="仿宋"/>
          <w:sz w:val="32"/>
          <w:szCs w:val="32"/>
        </w:rPr>
        <w:t>可获得由生产企业合作的（慈善）机构提供的全程免费治疗待遇，个人和医保基金均无需支付。重点医疗救助对象须由参保地医保经办机构严格审核，并在《特药待遇证》上予以明确。</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4</w:t>
      </w:r>
      <w:r>
        <w:rPr>
          <w:rFonts w:hint="eastAsia" w:ascii="Times New Roman" w:hAnsi="仿宋" w:eastAsia="仿宋"/>
          <w:sz w:val="32"/>
          <w:szCs w:val="32"/>
        </w:rPr>
        <w:t>．</w:t>
      </w:r>
      <w:r>
        <w:rPr>
          <w:rFonts w:ascii="Times New Roman" w:hAnsi="仿宋" w:eastAsia="仿宋"/>
          <w:sz w:val="32"/>
          <w:szCs w:val="32"/>
        </w:rPr>
        <w:t>每个治疗周期均需重新申请、评估和审核准入。再次准入标准：初始诊断为慢性髓性白血病，达沙替尼治疗有效。</w:t>
      </w:r>
    </w:p>
    <w:p>
      <w:pPr>
        <w:spacing w:line="600" w:lineRule="exact"/>
        <w:ind w:firstLine="640" w:firstLineChars="200"/>
        <w:rPr>
          <w:rFonts w:ascii="黑体" w:hAnsi="黑体" w:eastAsia="黑体"/>
          <w:sz w:val="32"/>
          <w:szCs w:val="32"/>
        </w:rPr>
      </w:pPr>
      <w:r>
        <w:rPr>
          <w:rFonts w:ascii="黑体" w:hAnsi="黑体" w:eastAsia="黑体"/>
          <w:sz w:val="32"/>
          <w:szCs w:val="32"/>
        </w:rPr>
        <w:t>五、患者申请特药待遇提供材料</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1</w:t>
      </w:r>
      <w:r>
        <w:rPr>
          <w:rFonts w:hint="eastAsia" w:ascii="Times New Roman" w:hAnsi="仿宋" w:eastAsia="仿宋"/>
          <w:sz w:val="32"/>
          <w:szCs w:val="32"/>
        </w:rPr>
        <w:t>．</w:t>
      </w:r>
      <w:r>
        <w:rPr>
          <w:rFonts w:ascii="Times New Roman" w:hAnsi="仿宋" w:eastAsia="仿宋"/>
          <w:sz w:val="32"/>
          <w:szCs w:val="32"/>
        </w:rPr>
        <w:t>参保患者患慢性髓性白血病且对伊马替尼耐药或不耐受的相关病历、医学诊断检查结果及诊治记录；</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2</w:t>
      </w:r>
      <w:r>
        <w:rPr>
          <w:rFonts w:hint="eastAsia" w:ascii="Times New Roman" w:hAnsi="仿宋" w:eastAsia="仿宋"/>
          <w:sz w:val="32"/>
          <w:szCs w:val="32"/>
        </w:rPr>
        <w:t>．</w:t>
      </w:r>
      <w:r>
        <w:rPr>
          <w:rFonts w:ascii="Times New Roman" w:hAnsi="仿宋" w:eastAsia="仿宋"/>
          <w:sz w:val="32"/>
          <w:szCs w:val="32"/>
        </w:rPr>
        <w:t>参保患者填写，经责任医师签字确认，医院医保办审核盖章的《江苏省医疗保险特药使用申请表》；</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3</w:t>
      </w:r>
      <w:r>
        <w:rPr>
          <w:rFonts w:hint="eastAsia" w:ascii="Times New Roman" w:hAnsi="仿宋" w:eastAsia="仿宋"/>
          <w:sz w:val="32"/>
          <w:szCs w:val="32"/>
        </w:rPr>
        <w:t>．</w:t>
      </w:r>
      <w:r>
        <w:rPr>
          <w:rFonts w:ascii="Times New Roman" w:hAnsi="仿宋" w:eastAsia="仿宋"/>
          <w:sz w:val="32"/>
          <w:szCs w:val="32"/>
        </w:rPr>
        <w:t>参保患者社会保障卡原件或复印件；</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4</w:t>
      </w:r>
      <w:r>
        <w:rPr>
          <w:rFonts w:hint="eastAsia" w:ascii="Times New Roman" w:hAnsi="仿宋" w:eastAsia="仿宋"/>
          <w:sz w:val="32"/>
          <w:szCs w:val="32"/>
        </w:rPr>
        <w:t>．</w:t>
      </w:r>
      <w:r>
        <w:rPr>
          <w:rFonts w:ascii="Times New Roman" w:hAnsi="仿宋" w:eastAsia="仿宋"/>
          <w:sz w:val="32"/>
          <w:szCs w:val="32"/>
        </w:rPr>
        <w:t>参保患者近期</w:t>
      </w:r>
      <w:r>
        <w:rPr>
          <w:rFonts w:ascii="Times New Roman" w:hAnsi="Times New Roman" w:eastAsia="仿宋"/>
          <w:sz w:val="32"/>
          <w:szCs w:val="32"/>
        </w:rPr>
        <w:t>1</w:t>
      </w:r>
      <w:r>
        <w:rPr>
          <w:rFonts w:ascii="Times New Roman" w:hAnsi="仿宋" w:eastAsia="仿宋"/>
          <w:sz w:val="32"/>
          <w:szCs w:val="32"/>
        </w:rPr>
        <w:t>寸免冠照片</w:t>
      </w:r>
      <w:r>
        <w:rPr>
          <w:rFonts w:ascii="Times New Roman" w:hAnsi="Times New Roman" w:eastAsia="仿宋"/>
          <w:sz w:val="32"/>
          <w:szCs w:val="32"/>
        </w:rPr>
        <w:t>1</w:t>
      </w:r>
      <w:r>
        <w:rPr>
          <w:rFonts w:ascii="Times New Roman" w:hAnsi="仿宋" w:eastAsia="仿宋"/>
          <w:sz w:val="32"/>
          <w:szCs w:val="32"/>
        </w:rPr>
        <w:t>张；</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5</w:t>
      </w:r>
      <w:r>
        <w:rPr>
          <w:rFonts w:hint="eastAsia" w:ascii="Times New Roman" w:hAnsi="仿宋" w:eastAsia="仿宋"/>
          <w:sz w:val="32"/>
          <w:szCs w:val="32"/>
        </w:rPr>
        <w:t>．</w:t>
      </w:r>
      <w:r>
        <w:rPr>
          <w:rFonts w:ascii="Times New Roman" w:hAnsi="仿宋" w:eastAsia="仿宋"/>
          <w:sz w:val="32"/>
          <w:szCs w:val="32"/>
        </w:rPr>
        <w:t>属于重点医疗救助对象的患者需提供相关证明材料；</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6</w:t>
      </w:r>
      <w:r>
        <w:rPr>
          <w:rFonts w:hint="eastAsia" w:ascii="Times New Roman" w:hAnsi="仿宋" w:eastAsia="仿宋"/>
          <w:sz w:val="32"/>
          <w:szCs w:val="32"/>
        </w:rPr>
        <w:t>．</w:t>
      </w:r>
      <w:r>
        <w:rPr>
          <w:rFonts w:ascii="Times New Roman" w:hAnsi="仿宋" w:eastAsia="仿宋"/>
          <w:sz w:val="32"/>
          <w:szCs w:val="32"/>
        </w:rPr>
        <w:t>其他有关材料。</w:t>
      </w:r>
    </w:p>
    <w:p>
      <w:pPr>
        <w:spacing w:line="600" w:lineRule="exact"/>
        <w:ind w:firstLine="640" w:firstLineChars="200"/>
        <w:rPr>
          <w:rFonts w:ascii="黑体" w:hAnsi="黑体" w:eastAsia="黑体"/>
          <w:sz w:val="32"/>
          <w:szCs w:val="32"/>
        </w:rPr>
      </w:pPr>
      <w:r>
        <w:rPr>
          <w:rFonts w:ascii="黑体" w:hAnsi="黑体" w:eastAsia="黑体"/>
          <w:sz w:val="32"/>
          <w:szCs w:val="32"/>
        </w:rPr>
        <w:t>六、复查评估</w:t>
      </w:r>
    </w:p>
    <w:p>
      <w:pPr>
        <w:spacing w:line="600" w:lineRule="exact"/>
        <w:ind w:firstLine="640" w:firstLineChars="200"/>
        <w:rPr>
          <w:rFonts w:ascii="Times New Roman" w:hAnsi="Times New Roman" w:eastAsia="仿宋"/>
          <w:sz w:val="32"/>
          <w:szCs w:val="32"/>
        </w:rPr>
      </w:pPr>
      <w:r>
        <w:rPr>
          <w:rFonts w:ascii="Times New Roman" w:hAnsi="仿宋" w:eastAsia="仿宋"/>
          <w:sz w:val="32"/>
          <w:szCs w:val="32"/>
        </w:rPr>
        <w:t>参保患者应定期（每三个月一次）到责任医师处复查评估，并将由责任医师签字确认的《江苏省医疗保险使用评估表》交特定药店留存，以确保合理用药和治疗，方可继续享受特药待遇。</w:t>
      </w:r>
    </w:p>
    <w:p>
      <w:pPr>
        <w:spacing w:line="600" w:lineRule="exact"/>
        <w:ind w:firstLine="640" w:firstLineChars="200"/>
        <w:rPr>
          <w:rFonts w:ascii="黑体" w:hAnsi="黑体" w:eastAsia="黑体"/>
          <w:sz w:val="32"/>
          <w:szCs w:val="32"/>
        </w:rPr>
      </w:pPr>
      <w:r>
        <w:rPr>
          <w:rFonts w:ascii="黑体" w:hAnsi="黑体" w:eastAsia="黑体"/>
          <w:sz w:val="32"/>
          <w:szCs w:val="32"/>
        </w:rPr>
        <w:t>七、停药或退出标准</w:t>
      </w:r>
    </w:p>
    <w:p>
      <w:pPr>
        <w:spacing w:line="600" w:lineRule="exact"/>
        <w:ind w:firstLine="640" w:firstLineChars="200"/>
        <w:rPr>
          <w:rFonts w:ascii="Times New Roman" w:hAnsi="Times New Roman" w:eastAsia="仿宋"/>
          <w:sz w:val="32"/>
          <w:szCs w:val="32"/>
        </w:rPr>
      </w:pPr>
      <w:r>
        <w:rPr>
          <w:rFonts w:ascii="Times New Roman" w:hAnsi="仿宋" w:eastAsia="仿宋"/>
          <w:sz w:val="32"/>
          <w:szCs w:val="32"/>
        </w:rPr>
        <w:t>因不良反应不耐受、耐药或疾病进展疗效不佳的，应停药。</w:t>
      </w:r>
    </w:p>
    <w:p>
      <w:pPr>
        <w:spacing w:line="580" w:lineRule="exact"/>
        <w:ind w:firstLine="640" w:firstLineChars="200"/>
        <w:jc w:val="left"/>
        <w:rPr>
          <w:rFonts w:ascii="仿宋" w:hAnsi="仿宋" w:eastAsia="仿宋" w:cs="仿宋"/>
          <w:sz w:val="32"/>
          <w:szCs w:val="32"/>
        </w:rPr>
      </w:pPr>
    </w:p>
    <w:p>
      <w:pPr>
        <w:spacing w:line="580" w:lineRule="exact"/>
        <w:ind w:firstLine="640" w:firstLineChars="200"/>
        <w:jc w:val="left"/>
        <w:rPr>
          <w:rFonts w:ascii="仿宋" w:hAnsi="仿宋" w:eastAsia="仿宋" w:cs="仿宋"/>
          <w:sz w:val="32"/>
          <w:szCs w:val="32"/>
        </w:rPr>
      </w:pPr>
    </w:p>
    <w:p>
      <w:pPr>
        <w:spacing w:line="580" w:lineRule="exact"/>
        <w:ind w:firstLine="640" w:firstLineChars="200"/>
        <w:jc w:val="left"/>
        <w:rPr>
          <w:rFonts w:ascii="仿宋" w:hAnsi="仿宋" w:eastAsia="仿宋" w:cs="仿宋"/>
          <w:sz w:val="32"/>
          <w:szCs w:val="32"/>
        </w:rPr>
      </w:pPr>
    </w:p>
    <w:p>
      <w:pPr>
        <w:spacing w:line="580" w:lineRule="exact"/>
        <w:ind w:firstLine="640" w:firstLineChars="200"/>
        <w:jc w:val="left"/>
        <w:rPr>
          <w:rFonts w:ascii="仿宋" w:hAnsi="仿宋" w:eastAsia="仿宋" w:cs="仿宋"/>
          <w:sz w:val="32"/>
          <w:szCs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altName w:val="Bookshelf Symbol 7"/>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Bookshelf Symbol 7">
    <w:panose1 w:val="05010101010101010101"/>
    <w:charset w:val="00"/>
    <w:family w:val="auto"/>
    <w:pitch w:val="default"/>
    <w:sig w:usb0="00000000" w:usb1="00000000" w:usb2="00000000" w:usb3="00000000" w:csb0="80000000" w:csb1="00000000"/>
  </w:font>
  <w:font w:name="方正小标宋简体">
    <w:altName w:val="微软雅黑"/>
    <w:panose1 w:val="03000509000000000000"/>
    <w:charset w:val="86"/>
    <w:family w:val="script"/>
    <w:pitch w:val="default"/>
    <w:sig w:usb0="00000000" w:usb1="00000000" w:usb2="00000010" w:usb3="00000000" w:csb0="00040000" w:csb1="00000000"/>
  </w:font>
  <w:font w:name="仿宋">
    <w:altName w:val="微软雅黑"/>
    <w:panose1 w:val="02010609060101010101"/>
    <w:charset w:val="86"/>
    <w:family w:val="modern"/>
    <w:pitch w:val="default"/>
    <w:sig w:usb0="00000000" w:usb1="00000000" w:usb2="00000016" w:usb3="00000000" w:csb0="00040001" w:csb1="00000000"/>
  </w:font>
  <w:font w:name="微软雅黑">
    <w:panose1 w:val="020B0503020204020204"/>
    <w:charset w:val="86"/>
    <w:family w:val="auto"/>
    <w:pitch w:val="default"/>
    <w:sig w:usb0="80000287" w:usb1="2A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F235B1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NTKO</cp:lastModifiedBy>
  <dcterms:modified xsi:type="dcterms:W3CDTF">2018-12-25T07:57:04Z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