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960" w:hanging="960" w:hangingChars="300"/>
        <w:jc w:val="left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来那度胺胶囊（立生）治疗多发性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骨髓瘤操作指引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一、基本信息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产品名称：</w:t>
      </w:r>
      <w:r>
        <w:rPr>
          <w:rFonts w:ascii="Times New Roman" w:hAnsi="仿宋" w:eastAsia="仿宋"/>
          <w:kern w:val="0"/>
          <w:sz w:val="32"/>
          <w:szCs w:val="32"/>
        </w:rPr>
        <w:t>来那度胺胶囊（</w:t>
      </w:r>
      <w:r>
        <w:rPr>
          <w:rFonts w:ascii="Times New Roman" w:hAnsi="Times New Roman" w:eastAsia="仿宋"/>
          <w:kern w:val="0"/>
          <w:sz w:val="32"/>
          <w:szCs w:val="32"/>
        </w:rPr>
        <w:t>Lenalidomide capsules</w:t>
      </w:r>
      <w:r>
        <w:rPr>
          <w:rFonts w:ascii="Times New Roman" w:hAnsi="仿宋" w:eastAsia="仿宋"/>
          <w:kern w:val="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商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标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仿宋" w:eastAsia="仿宋"/>
          <w:sz w:val="32"/>
          <w:szCs w:val="32"/>
        </w:rPr>
        <w:t>名：</w:t>
      </w:r>
      <w:r>
        <w:rPr>
          <w:rFonts w:ascii="Times New Roman" w:hAnsi="仿宋" w:eastAsia="仿宋"/>
          <w:kern w:val="0"/>
          <w:sz w:val="32"/>
          <w:szCs w:val="32"/>
        </w:rPr>
        <w:t>立生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包装规格：</w:t>
      </w:r>
      <w:r>
        <w:rPr>
          <w:rFonts w:ascii="Times New Roman" w:hAnsi="Times New Roman" w:eastAsia="仿宋"/>
          <w:sz w:val="32"/>
          <w:szCs w:val="32"/>
        </w:rPr>
        <w:t>25mg×21</w:t>
      </w:r>
      <w:r>
        <w:rPr>
          <w:rFonts w:ascii="Times New Roman" w:hAnsi="仿宋" w:eastAsia="仿宋"/>
          <w:sz w:val="32"/>
          <w:szCs w:val="32"/>
        </w:rPr>
        <w:t>粒</w:t>
      </w:r>
      <w:r>
        <w:rPr>
          <w:rFonts w:ascii="Times New Roman" w:hAnsi="Times New Roman" w:eastAsia="仿宋"/>
          <w:sz w:val="32"/>
          <w:szCs w:val="32"/>
        </w:rPr>
        <w:t>/</w:t>
      </w:r>
      <w:r>
        <w:rPr>
          <w:rFonts w:ascii="Times New Roman" w:hAnsi="仿宋" w:eastAsia="仿宋"/>
          <w:sz w:val="32"/>
          <w:szCs w:val="32"/>
        </w:rPr>
        <w:t>盒，</w:t>
      </w:r>
      <w:r>
        <w:rPr>
          <w:rFonts w:ascii="Times New Roman" w:hAnsi="Times New Roman" w:eastAsia="仿宋"/>
          <w:sz w:val="32"/>
          <w:szCs w:val="32"/>
        </w:rPr>
        <w:t>10mg×28</w:t>
      </w:r>
      <w:r>
        <w:rPr>
          <w:rFonts w:ascii="Times New Roman" w:hAnsi="仿宋" w:eastAsia="仿宋"/>
          <w:sz w:val="32"/>
          <w:szCs w:val="32"/>
        </w:rPr>
        <w:t>粒</w:t>
      </w:r>
      <w:r>
        <w:rPr>
          <w:rFonts w:ascii="Times New Roman" w:hAnsi="Times New Roman" w:eastAsia="仿宋"/>
          <w:sz w:val="32"/>
          <w:szCs w:val="32"/>
        </w:rPr>
        <w:t>/</w:t>
      </w:r>
      <w:r>
        <w:rPr>
          <w:rFonts w:ascii="Times New Roman" w:hAnsi="仿宋" w:eastAsia="仿宋"/>
          <w:sz w:val="32"/>
          <w:szCs w:val="32"/>
        </w:rPr>
        <w:t>盒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生产厂商：</w:t>
      </w:r>
      <w:r>
        <w:rPr>
          <w:rFonts w:ascii="Times New Roman" w:hAnsi="仿宋" w:eastAsia="仿宋"/>
          <w:kern w:val="0"/>
          <w:sz w:val="32"/>
          <w:szCs w:val="32"/>
        </w:rPr>
        <w:t>北京双鹭药业股份有限公司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国药准字：</w:t>
      </w:r>
      <w:r>
        <w:rPr>
          <w:rFonts w:ascii="Times New Roman" w:hAnsi="Times New Roman" w:eastAsia="仿宋"/>
          <w:kern w:val="0"/>
          <w:sz w:val="32"/>
          <w:szCs w:val="32"/>
        </w:rPr>
        <w:t>H20170009</w:t>
      </w:r>
      <w:r>
        <w:rPr>
          <w:rFonts w:ascii="Times New Roman" w:hAnsi="仿宋" w:eastAsia="仿宋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kern w:val="0"/>
          <w:sz w:val="32"/>
          <w:szCs w:val="32"/>
        </w:rPr>
        <w:t>H20170011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kern w:val="0"/>
          <w:sz w:val="32"/>
          <w:szCs w:val="32"/>
        </w:rPr>
        <w:t>慈善合作组织（机构）：</w:t>
      </w:r>
      <w:r>
        <w:rPr>
          <w:rFonts w:ascii="Times New Roman" w:hAnsi="仿宋" w:eastAsia="仿宋"/>
          <w:sz w:val="32"/>
          <w:szCs w:val="32"/>
        </w:rPr>
        <w:t>北京双鹭公益慈善基金会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二、医保基金支付适应症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限曾接受过至少一种疗法的多发性骨髓瘤的成年患者，并满足以下条件：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个疗程需提供治疗有效的证据后方可继续支付；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由三级医院血液专科或血液专科医院医师处方；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、与硼替佐米联合使用不予支付。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三、医学标准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（一）参保患者患有多发性骨髓瘤，且曾接受过至少一种标准方案治疗。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多发性骨髓瘤（</w:t>
      </w:r>
      <w:r>
        <w:rPr>
          <w:rFonts w:ascii="Times New Roman" w:hAnsi="Times New Roman" w:eastAsia="仿宋"/>
          <w:color w:val="000000"/>
          <w:sz w:val="32"/>
          <w:szCs w:val="32"/>
        </w:rPr>
        <w:t>MM</w:t>
      </w:r>
      <w:r>
        <w:rPr>
          <w:rFonts w:ascii="Times New Roman" w:hAnsi="仿宋" w:eastAsia="仿宋"/>
          <w:color w:val="000000"/>
          <w:sz w:val="32"/>
          <w:szCs w:val="32"/>
        </w:rPr>
        <w:t>）诊断标准：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  <w:lang w:val="zh-TW" w:eastAsia="zh-TW"/>
        </w:rPr>
        <w:t>⑴骨髓克隆性浆细胞＞</w:t>
      </w:r>
      <w:r>
        <w:rPr>
          <w:rFonts w:ascii="Times New Roman" w:hAnsi="Times New Roman" w:eastAsia="仿宋"/>
          <w:sz w:val="32"/>
          <w:szCs w:val="32"/>
        </w:rPr>
        <w:t>10%</w:t>
      </w:r>
      <w:r>
        <w:rPr>
          <w:rFonts w:ascii="Times New Roman" w:hAnsi="仿宋" w:eastAsia="仿宋"/>
          <w:sz w:val="32"/>
          <w:szCs w:val="32"/>
          <w:lang w:val="zh-TW" w:eastAsia="zh-TW"/>
        </w:rPr>
        <w:t>或活检证实骨性或髓外浆细胞瘤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⑵</w:t>
      </w:r>
      <w:r>
        <w:rPr>
          <w:rFonts w:ascii="Times New Roman" w:hAnsi="Times New Roman" w:eastAsia="仿宋"/>
          <w:sz w:val="32"/>
          <w:szCs w:val="32"/>
        </w:rPr>
        <w:t>≥1</w:t>
      </w:r>
      <w:r>
        <w:rPr>
          <w:rFonts w:ascii="Times New Roman" w:hAnsi="仿宋" w:eastAsia="仿宋"/>
          <w:sz w:val="32"/>
          <w:szCs w:val="32"/>
          <w:lang w:val="zh-TW" w:eastAsia="zh-TW"/>
        </w:rPr>
        <w:t>项骨髓瘤定义事件（</w:t>
      </w:r>
      <w:r>
        <w:rPr>
          <w:rFonts w:ascii="Times New Roman" w:hAnsi="Times New Roman" w:eastAsia="仿宋"/>
          <w:sz w:val="32"/>
          <w:szCs w:val="32"/>
        </w:rPr>
        <w:t>MDE</w:t>
      </w:r>
      <w:r>
        <w:rPr>
          <w:rFonts w:ascii="Times New Roman" w:hAnsi="仿宋" w:eastAsia="仿宋"/>
          <w:sz w:val="32"/>
          <w:szCs w:val="32"/>
          <w:lang w:val="zh-TW" w:eastAsia="zh-TW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与浆细胞增殖有关的终末器官损害（</w:t>
      </w:r>
      <w:r>
        <w:rPr>
          <w:rFonts w:ascii="Times New Roman" w:hAnsi="Times New Roman" w:eastAsia="仿宋"/>
          <w:b/>
          <w:sz w:val="32"/>
          <w:szCs w:val="32"/>
        </w:rPr>
        <w:t>CRAB</w:t>
      </w:r>
      <w:r>
        <w:rPr>
          <w:rFonts w:ascii="Times New Roman" w:hAnsi="仿宋" w:eastAsia="仿宋"/>
          <w:b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①高钙血症：血清钙较正常上限升高＞</w:t>
      </w:r>
      <w:r>
        <w:rPr>
          <w:rFonts w:ascii="Times New Roman" w:hAnsi="Times New Roman" w:eastAsia="仿宋"/>
          <w:sz w:val="32"/>
          <w:szCs w:val="32"/>
        </w:rPr>
        <w:t>0.25mmol/L</w:t>
      </w:r>
      <w:r>
        <w:rPr>
          <w:rFonts w:ascii="Times New Roman" w:hAnsi="仿宋" w:eastAsia="仿宋"/>
          <w:sz w:val="32"/>
          <w:szCs w:val="32"/>
        </w:rPr>
        <w:t>（＞</w:t>
      </w:r>
      <w:r>
        <w:rPr>
          <w:rFonts w:ascii="Times New Roman" w:hAnsi="Times New Roman" w:eastAsia="仿宋"/>
          <w:sz w:val="32"/>
          <w:szCs w:val="32"/>
        </w:rPr>
        <w:t>1mg/dl</w:t>
      </w:r>
      <w:r>
        <w:rPr>
          <w:rFonts w:ascii="Times New Roman" w:hAnsi="仿宋" w:eastAsia="仿宋"/>
          <w:sz w:val="32"/>
          <w:szCs w:val="32"/>
        </w:rPr>
        <w:t>）或绝对值＞</w:t>
      </w:r>
      <w:r>
        <w:rPr>
          <w:rFonts w:ascii="Times New Roman" w:hAnsi="Times New Roman" w:eastAsia="仿宋"/>
          <w:sz w:val="32"/>
          <w:szCs w:val="32"/>
        </w:rPr>
        <w:t>2.75mmol/L</w:t>
      </w:r>
      <w:r>
        <w:rPr>
          <w:rFonts w:ascii="Times New Roman" w:hAnsi="仿宋" w:eastAsia="仿宋"/>
          <w:sz w:val="32"/>
          <w:szCs w:val="32"/>
        </w:rPr>
        <w:t>（＞</w:t>
      </w:r>
      <w:r>
        <w:rPr>
          <w:rFonts w:ascii="Times New Roman" w:hAnsi="Times New Roman" w:eastAsia="仿宋"/>
          <w:sz w:val="32"/>
          <w:szCs w:val="32"/>
        </w:rPr>
        <w:t>11mg/dl</w:t>
      </w:r>
      <w:r>
        <w:rPr>
          <w:rFonts w:ascii="Times New Roman" w:hAnsi="仿宋" w:eastAsia="仿宋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②肾功能不全：肌酐清除率＞</w:t>
      </w:r>
      <w:r>
        <w:rPr>
          <w:rFonts w:ascii="Times New Roman" w:hAnsi="Times New Roman" w:eastAsia="仿宋"/>
          <w:sz w:val="32"/>
          <w:szCs w:val="32"/>
        </w:rPr>
        <w:t>40ml/min</w:t>
      </w:r>
      <w:r>
        <w:rPr>
          <w:rFonts w:ascii="Times New Roman" w:hAnsi="仿宋" w:eastAsia="仿宋"/>
          <w:sz w:val="32"/>
          <w:szCs w:val="32"/>
        </w:rPr>
        <w:t>或血清肌酐＞</w:t>
      </w:r>
      <w:r>
        <w:rPr>
          <w:rFonts w:ascii="Times New Roman" w:hAnsi="Times New Roman" w:eastAsia="仿宋"/>
          <w:sz w:val="32"/>
          <w:szCs w:val="32"/>
        </w:rPr>
        <w:t>177umol/L</w:t>
      </w:r>
      <w:r>
        <w:rPr>
          <w:rFonts w:ascii="Times New Roman" w:hAnsi="仿宋" w:eastAsia="仿宋"/>
          <w:sz w:val="32"/>
          <w:szCs w:val="32"/>
        </w:rPr>
        <w:t>（＞</w:t>
      </w:r>
      <w:r>
        <w:rPr>
          <w:rFonts w:ascii="Times New Roman" w:hAnsi="Times New Roman" w:eastAsia="仿宋"/>
          <w:sz w:val="32"/>
          <w:szCs w:val="32"/>
        </w:rPr>
        <w:t>2mg/dl</w:t>
      </w:r>
      <w:r>
        <w:rPr>
          <w:rFonts w:ascii="Times New Roman" w:hAnsi="仿宋" w:eastAsia="仿宋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③贫血：血红蛋白低于正常下限＞</w:t>
      </w:r>
      <w:r>
        <w:rPr>
          <w:rFonts w:ascii="Times New Roman" w:hAnsi="Times New Roman" w:eastAsia="仿宋"/>
          <w:sz w:val="32"/>
          <w:szCs w:val="32"/>
        </w:rPr>
        <w:t>20g/L</w:t>
      </w:r>
      <w:r>
        <w:rPr>
          <w:rFonts w:ascii="Times New Roman" w:hAnsi="仿宋" w:eastAsia="仿宋"/>
          <w:sz w:val="32"/>
          <w:szCs w:val="32"/>
        </w:rPr>
        <w:t>或绝对值＜</w:t>
      </w:r>
      <w:r>
        <w:rPr>
          <w:rFonts w:ascii="Times New Roman" w:hAnsi="Times New Roman" w:eastAsia="仿宋"/>
          <w:sz w:val="32"/>
          <w:szCs w:val="32"/>
        </w:rPr>
        <w:t>100g/L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④</w:t>
      </w:r>
      <w:r>
        <w:rPr>
          <w:rFonts w:ascii="Times New Roman" w:hAnsi="仿宋" w:eastAsia="仿宋"/>
          <w:sz w:val="32"/>
          <w:szCs w:val="32"/>
          <w:lang w:val="zh-CN"/>
        </w:rPr>
        <w:t>骨痛，骨骼事件，病理性骨折等或</w:t>
      </w:r>
      <w:r>
        <w:rPr>
          <w:rFonts w:ascii="Times New Roman" w:hAnsi="仿宋" w:eastAsia="仿宋"/>
          <w:sz w:val="32"/>
          <w:szCs w:val="32"/>
        </w:rPr>
        <w:t>骨骼病变：骨骼</w:t>
      </w:r>
      <w:r>
        <w:rPr>
          <w:rFonts w:ascii="Times New Roman" w:hAnsi="Times New Roman" w:eastAsia="仿宋"/>
          <w:sz w:val="32"/>
          <w:szCs w:val="32"/>
        </w:rPr>
        <w:t>X</w:t>
      </w:r>
      <w:r>
        <w:rPr>
          <w:rFonts w:ascii="Times New Roman" w:hAnsi="仿宋" w:eastAsia="仿宋"/>
          <w:sz w:val="32"/>
          <w:szCs w:val="32"/>
        </w:rPr>
        <w:t>线、</w:t>
      </w:r>
      <w:r>
        <w:rPr>
          <w:rFonts w:ascii="Times New Roman" w:hAnsi="Times New Roman" w:eastAsia="仿宋"/>
          <w:sz w:val="32"/>
          <w:szCs w:val="32"/>
          <w:lang w:val="zh-CN"/>
        </w:rPr>
        <w:t>MRI</w:t>
      </w:r>
      <w:r>
        <w:rPr>
          <w:rFonts w:ascii="Times New Roman" w:hAnsi="仿宋" w:eastAsia="仿宋"/>
          <w:sz w:val="32"/>
          <w:szCs w:val="32"/>
          <w:lang w:val="zh-CN"/>
        </w:rPr>
        <w:t>，</w:t>
      </w:r>
      <w:r>
        <w:rPr>
          <w:rFonts w:ascii="Times New Roman" w:hAnsi="Times New Roman" w:eastAsia="仿宋"/>
          <w:sz w:val="32"/>
          <w:szCs w:val="32"/>
        </w:rPr>
        <w:t>CT</w:t>
      </w:r>
      <w:r>
        <w:rPr>
          <w:rFonts w:ascii="Times New Roman" w:hAnsi="仿宋" w:eastAsia="仿宋"/>
          <w:sz w:val="32"/>
          <w:szCs w:val="32"/>
        </w:rPr>
        <w:t>或</w:t>
      </w:r>
      <w:r>
        <w:rPr>
          <w:rFonts w:ascii="Times New Roman" w:hAnsi="Times New Roman" w:eastAsia="仿宋"/>
          <w:sz w:val="32"/>
          <w:szCs w:val="32"/>
        </w:rPr>
        <w:t>PET-CT</w:t>
      </w:r>
      <w:r>
        <w:rPr>
          <w:rFonts w:ascii="Times New Roman" w:hAnsi="仿宋" w:eastAsia="仿宋"/>
          <w:sz w:val="32"/>
          <w:szCs w:val="32"/>
        </w:rPr>
        <w:t>显示</w:t>
      </w:r>
      <w:r>
        <w:rPr>
          <w:rFonts w:ascii="Times New Roman" w:hAnsi="Times New Roman" w:eastAsia="仿宋"/>
          <w:sz w:val="32"/>
          <w:szCs w:val="32"/>
        </w:rPr>
        <w:t>&gt;1</w:t>
      </w:r>
      <w:r>
        <w:rPr>
          <w:rFonts w:ascii="Times New Roman" w:hAnsi="仿宋" w:eastAsia="仿宋"/>
          <w:sz w:val="32"/>
          <w:szCs w:val="32"/>
        </w:rPr>
        <w:t>处溶骨性病变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生物标记：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①骨髓克隆性浆细胞比例</w:t>
      </w:r>
      <w:r>
        <w:rPr>
          <w:rFonts w:ascii="Times New Roman" w:hAnsi="Times New Roman" w:eastAsia="仿宋"/>
          <w:sz w:val="32"/>
          <w:szCs w:val="32"/>
        </w:rPr>
        <w:t>≥60%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②受累</w:t>
      </w:r>
      <w:r>
        <w:rPr>
          <w:rFonts w:ascii="Times New Roman" w:hAnsi="Times New Roman" w:eastAsia="仿宋"/>
          <w:sz w:val="32"/>
          <w:szCs w:val="32"/>
        </w:rPr>
        <w:t>/</w:t>
      </w:r>
      <w:r>
        <w:rPr>
          <w:rFonts w:ascii="Times New Roman" w:hAnsi="仿宋" w:eastAsia="仿宋"/>
          <w:sz w:val="32"/>
          <w:szCs w:val="32"/>
        </w:rPr>
        <w:t>未受累血清游离轻链比例</w:t>
      </w:r>
      <w:r>
        <w:rPr>
          <w:rFonts w:ascii="Times New Roman" w:hAnsi="Times New Roman" w:eastAsia="仿宋"/>
          <w:sz w:val="32"/>
          <w:szCs w:val="32"/>
        </w:rPr>
        <w:t>≥100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③</w:t>
      </w:r>
      <w:r>
        <w:rPr>
          <w:rFonts w:ascii="Times New Roman" w:hAnsi="Times New Roman" w:eastAsia="仿宋"/>
          <w:sz w:val="32"/>
          <w:szCs w:val="32"/>
        </w:rPr>
        <w:t>MRI</w:t>
      </w:r>
      <w:r>
        <w:rPr>
          <w:rFonts w:ascii="Times New Roman" w:hAnsi="仿宋" w:eastAsia="仿宋"/>
          <w:sz w:val="32"/>
          <w:szCs w:val="32"/>
        </w:rPr>
        <w:t>显示＞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处的直径＞</w:t>
      </w:r>
      <w:r>
        <w:rPr>
          <w:rFonts w:ascii="Times New Roman" w:hAnsi="Times New Roman" w:eastAsia="仿宋"/>
          <w:sz w:val="32"/>
          <w:szCs w:val="32"/>
        </w:rPr>
        <w:t>5mm</w:t>
      </w:r>
      <w:r>
        <w:rPr>
          <w:rFonts w:ascii="Times New Roman" w:hAnsi="仿宋" w:eastAsia="仿宋"/>
          <w:sz w:val="32"/>
          <w:szCs w:val="32"/>
        </w:rPr>
        <w:t>的局灶性</w:t>
      </w:r>
      <w:r>
        <w:rPr>
          <w:rFonts w:ascii="Times New Roman" w:hAnsi="仿宋" w:eastAsia="仿宋"/>
          <w:sz w:val="32"/>
          <w:szCs w:val="32"/>
          <w:lang w:val="zh-CN"/>
        </w:rPr>
        <w:t>骨损</w:t>
      </w:r>
      <w:r>
        <w:rPr>
          <w:rFonts w:ascii="Times New Roman" w:hAnsi="仿宋" w:eastAsia="仿宋"/>
          <w:sz w:val="32"/>
          <w:szCs w:val="32"/>
        </w:rPr>
        <w:t>病灶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（二）与硼替佐米联合使用不予支付。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仿宋" w:eastAsia="仿宋"/>
          <w:b/>
          <w:color w:val="000000"/>
          <w:sz w:val="32"/>
          <w:szCs w:val="32"/>
        </w:rPr>
        <w:t>以上检查必须在三级甲等医院血液专科进行或由责任医师复核。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四、特药待遇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自治疗之日起，使用来那度胺胶囊（立生）</w:t>
      </w:r>
      <w:r>
        <w:rPr>
          <w:rFonts w:ascii="Times New Roman" w:hAnsi="Times New Roman" w:eastAsia="仿宋"/>
          <w:sz w:val="32"/>
          <w:szCs w:val="32"/>
        </w:rPr>
        <w:t>25mg</w:t>
      </w:r>
      <w:r>
        <w:rPr>
          <w:rFonts w:ascii="Times New Roman" w:hAnsi="仿宋" w:eastAsia="仿宋"/>
          <w:sz w:val="32"/>
          <w:szCs w:val="32"/>
        </w:rPr>
        <w:t>的，每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仿宋" w:eastAsia="仿宋"/>
          <w:sz w:val="32"/>
          <w:szCs w:val="32"/>
        </w:rPr>
        <w:t>个疗程为一治疗周期。前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个疗程药品费用由医保基金和参保患者共同承担，后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个疗程由生产企业合作的（慈善）机构提供免费治疗待遇；经评估需继续用药的，再次按上述待遇进入下一治疗周期。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自治疗之日起，使用来那度胺胶囊（立生）</w:t>
      </w:r>
      <w:r>
        <w:rPr>
          <w:rFonts w:ascii="Times New Roman" w:hAnsi="Times New Roman" w:eastAsia="仿宋"/>
          <w:sz w:val="32"/>
          <w:szCs w:val="32"/>
        </w:rPr>
        <w:t>10mg</w:t>
      </w:r>
      <w:r>
        <w:rPr>
          <w:rFonts w:ascii="Times New Roman" w:hAnsi="仿宋" w:eastAsia="仿宋"/>
          <w:sz w:val="32"/>
          <w:szCs w:val="32"/>
        </w:rPr>
        <w:t>的，每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个疗程为一治疗周期，前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个疗程药品费用由医保基金和参保患者共同承担，后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个疗程由生产企业合作的（慈善）机构提供免费治疗待遇。经评估需继续用药的，再次按上述待遇进入下一治疗周期。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符合江苏省政府办公厅《关于进一步完善医疗救助制度的实施意见》（苏政办发</w:t>
      </w:r>
      <w:r>
        <w:rPr>
          <w:rFonts w:ascii="Times New Roman" w:hAnsi="仿宋" w:eastAsia="仿宋"/>
          <w:bCs/>
          <w:sz w:val="32"/>
          <w:szCs w:val="32"/>
        </w:rPr>
        <w:t>〔</w:t>
      </w:r>
      <w:r>
        <w:rPr>
          <w:rFonts w:ascii="Times New Roman" w:hAnsi="Times New Roman" w:eastAsia="仿宋"/>
          <w:sz w:val="32"/>
          <w:szCs w:val="32"/>
        </w:rPr>
        <w:t>2015</w:t>
      </w:r>
      <w:r>
        <w:rPr>
          <w:rFonts w:ascii="Times New Roman" w:hAnsi="仿宋" w:eastAsia="仿宋"/>
          <w:bCs/>
          <w:sz w:val="32"/>
          <w:szCs w:val="32"/>
        </w:rPr>
        <w:t>〕</w:t>
      </w:r>
      <w:r>
        <w:rPr>
          <w:rFonts w:ascii="Times New Roman" w:hAnsi="Times New Roman" w:eastAsia="仿宋"/>
          <w:sz w:val="32"/>
          <w:szCs w:val="32"/>
        </w:rPr>
        <w:t>135</w:t>
      </w:r>
      <w:r>
        <w:rPr>
          <w:rFonts w:ascii="Times New Roman" w:hAnsi="仿宋" w:eastAsia="仿宋"/>
          <w:sz w:val="32"/>
          <w:szCs w:val="32"/>
        </w:rPr>
        <w:t>号）文件规定的重点医疗救助对象（最低生活保障家庭成员、特困供养人员、具有当地户籍的临时救助对象中的大重病患者、享受民政部门定期定量生活补助费的</w:t>
      </w: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ascii="Times New Roman" w:hAnsi="仿宋" w:eastAsia="仿宋"/>
          <w:sz w:val="32"/>
          <w:szCs w:val="32"/>
        </w:rPr>
        <w:t>世纪</w:t>
      </w:r>
      <w:r>
        <w:rPr>
          <w:rFonts w:ascii="Times New Roman" w:hAnsi="Times New Roman" w:eastAsia="仿宋"/>
          <w:sz w:val="32"/>
          <w:szCs w:val="32"/>
        </w:rPr>
        <w:t>60</w:t>
      </w:r>
      <w:r>
        <w:rPr>
          <w:rFonts w:ascii="Times New Roman" w:hAnsi="仿宋" w:eastAsia="仿宋"/>
          <w:sz w:val="32"/>
          <w:szCs w:val="32"/>
        </w:rPr>
        <w:t>年代精减退职职工、重点优抚对象、享受政府基本生活保障的孤儿和设区的市、县（市、区）总工会核定的特困职工），使用来那度胺胶囊（立生）可获得由生产企业合作的（慈善）机构提供的全程免费治疗待遇，个人和医保基金均无需支付。重点医疗救助对象须由参保地医保经办机构严格审核，并在《特药待遇证》上予以明确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参保患者购买药品和领取（慈善）援助药品均在医保特药定点药店。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五、患者申请特药待遇提供材料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参保患者患多发性骨髓瘤的相关病历、医学诊断检查结果及诊治记录，如出院记录、病理报告、既往疗法记录、肾功能报告单等；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参保患者填写，经责任医师确认签字，医院医保办审核盖章的《江苏省医疗保险特药使用申请表》；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参保患者社会保障卡原件或复印件；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参保患者近期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寸免冠照片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张；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属于重点医疗救助对象的患者需提供相关证明材料；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仿宋" w:eastAsia="仿宋"/>
          <w:sz w:val="32"/>
          <w:szCs w:val="32"/>
        </w:rPr>
        <w:t>．</w:t>
      </w:r>
      <w:r>
        <w:rPr>
          <w:rFonts w:ascii="Times New Roman" w:hAnsi="仿宋" w:eastAsia="仿宋"/>
          <w:sz w:val="32"/>
          <w:szCs w:val="32"/>
        </w:rPr>
        <w:t>其他有关材料。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六、复查评估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参保患者应定期（每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个疗程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次）到责任医师处复查评估</w:t>
      </w:r>
      <w:r>
        <w:rPr>
          <w:rFonts w:ascii="Times New Roman" w:hAnsi="仿宋" w:eastAsia="仿宋"/>
          <w:color w:val="000000"/>
          <w:sz w:val="32"/>
          <w:szCs w:val="32"/>
        </w:rPr>
        <w:t>，</w:t>
      </w:r>
      <w:r>
        <w:rPr>
          <w:rFonts w:ascii="Times New Roman" w:hAnsi="仿宋" w:eastAsia="仿宋"/>
          <w:sz w:val="32"/>
          <w:szCs w:val="32"/>
        </w:rPr>
        <w:t>并将由责任医师签字确认的《江苏省医疗保险特药使用评估表》交特定药店留存，以确保合理用药和治疗，方可继续享受特药待遇。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七、停药或退出标准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治疗过程中疾病进展或严重不良反应应停药。</w:t>
      </w:r>
    </w:p>
    <w:p>
      <w:pPr>
        <w:spacing w:line="64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17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2018-12-25T07:57:52Z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