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9131">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南通市人力资源和社会保障信息中心oracle核心数据库实时备份保护解决方案核心设备维保服务项目</w:t>
      </w:r>
      <w:r>
        <w:rPr>
          <w:rFonts w:hint="eastAsia" w:ascii="宋体" w:hAnsi="宋体" w:eastAsia="宋体" w:cs="宋体"/>
          <w:b/>
          <w:bCs/>
          <w:sz w:val="28"/>
          <w:szCs w:val="28"/>
          <w:lang w:val="en-US" w:eastAsia="zh-CN"/>
        </w:rPr>
        <w:t>需求</w:t>
      </w:r>
    </w:p>
    <w:p w14:paraId="50B7BF76">
      <w:pPr>
        <w:pStyle w:val="2"/>
        <w:keepNext w:val="0"/>
        <w:keepLines w:val="0"/>
        <w:pageBreakBefore w:val="0"/>
        <w:kinsoku/>
        <w:wordWrap/>
        <w:overflowPunct/>
        <w:topLinePunct w:val="0"/>
        <w:autoSpaceDE w:val="0"/>
        <w:autoSpaceDN w:val="0"/>
        <w:bidi w:val="0"/>
        <w:adjustRightInd w:val="0"/>
        <w:snapToGrid/>
        <w:spacing w:before="0" w:after="0" w:line="360" w:lineRule="auto"/>
        <w:ind w:left="34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408378C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来，全面贯彻落实习近平总书记关于加快网络强国、数字中国建设的重要指示精神，聚焦营商环境、社会治理等重要领域，通过数字化赋能、全数据共享、全服务上网，扎实推进数字人社建设，构建支撑政务服务、经济发展、社会稳定、行风监管、产业发展五大平台，建成了具有南通特色的“数字化、智能化、一体化”数字人社新样板。</w:t>
      </w:r>
    </w:p>
    <w:p w14:paraId="4047BD9C">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省人社一体化信息平台在南通切换上线，形成了377个政务服务事项、284个网办事项、116个查询事项全程在线服务新格局。截止目前，平台注册企业用户11.7万家，个人用户177.44万人，覆盖南通所有规模性企业；通过政务服务平台累计办件73.75万件，便民终端总服务1389万人次。</w:t>
      </w:r>
    </w:p>
    <w:p w14:paraId="63334835">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着全市数据的集中，信息系统必然发生大量的数据传输、存储和数据交换,数据安全成为影响整个信息系统安全的一个重要因素。近几年,国家和相关部门颁布了一系列法律法规和标准规范，如《中华人民共和国网络安全法》《中华人民共和国数据安全法》、《计算机信息系统安全保护条例》《信息安全等级保护管理办法》等，对数据安全都有相关的明确规定。2018年，为了进一步加强在核心数据安全建设，充分利用业内最先进的技术，力求最小化数据丢失风险，最大化数据恢复保证，建设了南通人社Oracle核心数据库实时备份保护解决方案项目。</w:t>
      </w:r>
    </w:p>
    <w:p w14:paraId="2B58381C">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本项目针对南通人社Oracle核心数据库实时备份保护解决方案项目的核心设备ORACLE零丢失备份一体机，采购一年服务期的维保服务，保障</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信息系统的数据安全机制。</w:t>
      </w:r>
    </w:p>
    <w:p w14:paraId="49ADA768">
      <w:pPr>
        <w:pStyle w:val="2"/>
        <w:keepNext w:val="0"/>
        <w:keepLines w:val="0"/>
        <w:pageBreakBefore w:val="0"/>
        <w:kinsoku/>
        <w:wordWrap/>
        <w:overflowPunct/>
        <w:topLinePunct w:val="0"/>
        <w:autoSpaceDE w:val="0"/>
        <w:autoSpaceDN w:val="0"/>
        <w:bidi w:val="0"/>
        <w:adjustRightInd w:val="0"/>
        <w:snapToGrid/>
        <w:spacing w:before="0" w:after="0" w:line="360" w:lineRule="auto"/>
        <w:ind w:left="34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bookmarkStart w:id="0" w:name="_Toc97126893"/>
      <w:r>
        <w:rPr>
          <w:rFonts w:hint="eastAsia" w:ascii="宋体" w:hAnsi="宋体" w:eastAsia="宋体" w:cs="宋体"/>
          <w:color w:val="auto"/>
          <w:sz w:val="24"/>
          <w:szCs w:val="24"/>
          <w:highlight w:val="none"/>
          <w:lang w:val="en-US" w:eastAsia="zh-CN"/>
        </w:rPr>
        <w:t>项目需求</w:t>
      </w:r>
    </w:p>
    <w:bookmarkEnd w:id="0"/>
    <w:tbl>
      <w:tblPr>
        <w:tblStyle w:val="3"/>
        <w:tblW w:w="9235" w:type="dxa"/>
        <w:tblInd w:w="90" w:type="dxa"/>
        <w:tblLayout w:type="fixed"/>
        <w:tblCellMar>
          <w:top w:w="0" w:type="dxa"/>
          <w:left w:w="108" w:type="dxa"/>
          <w:bottom w:w="0" w:type="dxa"/>
          <w:right w:w="108" w:type="dxa"/>
        </w:tblCellMar>
      </w:tblPr>
      <w:tblGrid>
        <w:gridCol w:w="8492"/>
        <w:gridCol w:w="743"/>
      </w:tblGrid>
      <w:tr w14:paraId="2A3F6271">
        <w:tblPrEx>
          <w:tblCellMar>
            <w:top w:w="0" w:type="dxa"/>
            <w:left w:w="108" w:type="dxa"/>
            <w:bottom w:w="0" w:type="dxa"/>
            <w:right w:w="108" w:type="dxa"/>
          </w:tblCellMar>
        </w:tblPrEx>
        <w:trPr>
          <w:trHeight w:val="491" w:hRule="atLeast"/>
        </w:trPr>
        <w:tc>
          <w:tcPr>
            <w:tcW w:w="8492" w:type="dxa"/>
            <w:tcBorders>
              <w:top w:val="single" w:color="auto" w:sz="4" w:space="0"/>
              <w:left w:val="single" w:color="auto" w:sz="4" w:space="0"/>
              <w:bottom w:val="single" w:color="auto" w:sz="4" w:space="0"/>
              <w:right w:val="single" w:color="auto" w:sz="4" w:space="0"/>
            </w:tcBorders>
            <w:shd w:val="clear" w:color="000000" w:fill="F2DCDB"/>
            <w:noWrap w:val="0"/>
            <w:vAlign w:val="center"/>
          </w:tcPr>
          <w:p w14:paraId="52F5DCBC">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ZDLRA X7基础配置组件</w:t>
            </w:r>
          </w:p>
        </w:tc>
        <w:tc>
          <w:tcPr>
            <w:tcW w:w="743" w:type="dxa"/>
            <w:tcBorders>
              <w:top w:val="single" w:color="auto" w:sz="4" w:space="0"/>
              <w:left w:val="nil"/>
              <w:bottom w:val="single" w:color="auto" w:sz="4" w:space="0"/>
              <w:right w:val="single" w:color="auto" w:sz="4" w:space="0"/>
            </w:tcBorders>
            <w:shd w:val="clear" w:color="000000" w:fill="F2DCDB"/>
            <w:noWrap w:val="0"/>
            <w:vAlign w:val="center"/>
          </w:tcPr>
          <w:p w14:paraId="428EB6A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000000"/>
                <w:kern w:val="0"/>
                <w:sz w:val="24"/>
                <w:szCs w:val="24"/>
              </w:rPr>
            </w:pPr>
            <w:bookmarkStart w:id="1" w:name="_GoBack"/>
            <w:bookmarkEnd w:id="1"/>
            <w:r>
              <w:rPr>
                <w:rFonts w:hint="eastAsia" w:ascii="宋体" w:hAnsi="宋体" w:eastAsia="宋体" w:cs="宋体"/>
                <w:color w:val="000000"/>
                <w:kern w:val="0"/>
                <w:sz w:val="24"/>
                <w:szCs w:val="24"/>
              </w:rPr>
              <w:t>数量</w:t>
            </w:r>
          </w:p>
        </w:tc>
      </w:tr>
      <w:tr w14:paraId="54E280DC">
        <w:tblPrEx>
          <w:tblCellMar>
            <w:top w:w="0" w:type="dxa"/>
            <w:left w:w="108" w:type="dxa"/>
            <w:bottom w:w="0" w:type="dxa"/>
            <w:right w:w="108" w:type="dxa"/>
          </w:tblCellMar>
        </w:tblPrEx>
        <w:trPr>
          <w:trHeight w:val="7707" w:hRule="atLeast"/>
        </w:trPr>
        <w:tc>
          <w:tcPr>
            <w:tcW w:w="8492" w:type="dxa"/>
            <w:tcBorders>
              <w:top w:val="nil"/>
              <w:left w:val="single" w:color="auto" w:sz="4" w:space="0"/>
              <w:bottom w:val="single" w:color="auto" w:sz="4" w:space="0"/>
              <w:right w:val="single" w:color="auto" w:sz="4" w:space="0"/>
            </w:tcBorders>
            <w:noWrap w:val="0"/>
            <w:vAlign w:val="center"/>
          </w:tcPr>
          <w:p w14:paraId="3002F48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Oracle Server X7-2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(2) Intel® Xeon® Platinum 8160 24-core 2.1 GHz 处理器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- 384GB LR DDR4-2666 内存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(4) 600GB 10,000 rpm SAS-3 内置硬盘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 内置 SAS-3 12 Gb RAID HBA，含 2 GB Supercap-backed cache</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 双口 InfiniBand QDR (40 Gb/sec) PCIe HCA (用来连接其它备份服务器以及备份存储，所有连接线缆由工厂直接连接到位)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 双口 10/25 GbE SFP28 PCIe 网卡 (SFP28 模块另购)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(2) 板载 RJ45 1 GbE / 10 GbE 端口或 (2)  板载 10/25 GbE SFP28 端口(SFP28 模块另购)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(2) 冗余热更换电源模块</w:t>
            </w:r>
          </w:p>
          <w:p w14:paraId="334E4B3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Oracle Enterprise Linux</w:t>
            </w:r>
          </w:p>
          <w:p w14:paraId="1865307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Oracle Database Enterprise Edition 12c for ZDLRA</w:t>
            </w:r>
          </w:p>
          <w:p w14:paraId="1393A8B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Oracle Secure Backup 12 for ZDLRA</w:t>
            </w:r>
          </w:p>
          <w:p w14:paraId="225AA7B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Oracle Enterprise Manager for ZDLRA</w:t>
            </w:r>
          </w:p>
        </w:tc>
        <w:tc>
          <w:tcPr>
            <w:tcW w:w="743" w:type="dxa"/>
            <w:tcBorders>
              <w:top w:val="nil"/>
              <w:left w:val="nil"/>
              <w:bottom w:val="single" w:color="auto" w:sz="4" w:space="0"/>
              <w:right w:val="single" w:color="auto" w:sz="4" w:space="0"/>
            </w:tcBorders>
            <w:noWrap w:val="0"/>
            <w:vAlign w:val="center"/>
          </w:tcPr>
          <w:p w14:paraId="7B586BD4">
            <w:pPr>
              <w:keepNext w:val="0"/>
              <w:keepLines w:val="0"/>
              <w:pageBreakBefore w:val="0"/>
              <w:widowControl/>
              <w:kinsoku/>
              <w:wordWrap/>
              <w:overflowPunct/>
              <w:topLinePunct w:val="0"/>
              <w:bidi w:val="0"/>
              <w:snapToGrid/>
              <w:spacing w:line="360" w:lineRule="auto"/>
              <w:ind w:firstLine="480" w:firstLineChars="200"/>
              <w:jc w:val="righ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5F17765B">
        <w:tblPrEx>
          <w:tblCellMar>
            <w:top w:w="0" w:type="dxa"/>
            <w:left w:w="108" w:type="dxa"/>
            <w:bottom w:w="0" w:type="dxa"/>
            <w:right w:w="108" w:type="dxa"/>
          </w:tblCellMar>
        </w:tblPrEx>
        <w:trPr>
          <w:trHeight w:val="5302" w:hRule="atLeast"/>
        </w:trPr>
        <w:tc>
          <w:tcPr>
            <w:tcW w:w="8492" w:type="dxa"/>
            <w:tcBorders>
              <w:top w:val="nil"/>
              <w:left w:val="single" w:color="auto" w:sz="4" w:space="0"/>
              <w:bottom w:val="single" w:color="auto" w:sz="4" w:space="0"/>
              <w:right w:val="single" w:color="auto" w:sz="4" w:space="0"/>
            </w:tcBorders>
            <w:noWrap w:val="0"/>
            <w:vAlign w:val="center"/>
          </w:tcPr>
          <w:p w14:paraId="5D752887">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智能存储服务器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Oracle Server X7-2L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(2) Intel® Xeon® Silver 4114 10-core 2.2 GHz 处理器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- 192 GB DDR4-2666 内存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(12) 10 TB 7200 rpm SAS-3 内置硬盘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 内置 SAS-3 12 Gb RAID HBA，含 2 GB Supercap-backed cache</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 双口 InfiniBand QDR (40 Gb/sec) PCIe HCA (用来连接其它备份服务器以及备份存储，所有连接线缆由工厂直接连接到位)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(2) 冗余热更换电源模块</w:t>
            </w:r>
          </w:p>
          <w:p w14:paraId="3199EC0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Oracle Enterprise Linux</w:t>
            </w:r>
          </w:p>
          <w:p w14:paraId="01EE084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Zero Data Loss Recovery Appliance Software</w:t>
            </w:r>
          </w:p>
        </w:tc>
        <w:tc>
          <w:tcPr>
            <w:tcW w:w="743" w:type="dxa"/>
            <w:tcBorders>
              <w:top w:val="nil"/>
              <w:left w:val="nil"/>
              <w:bottom w:val="single" w:color="auto" w:sz="4" w:space="0"/>
              <w:right w:val="single" w:color="auto" w:sz="4" w:space="0"/>
            </w:tcBorders>
            <w:noWrap w:val="0"/>
            <w:vAlign w:val="center"/>
          </w:tcPr>
          <w:p w14:paraId="539B76C1">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1C992019">
        <w:tblPrEx>
          <w:tblCellMar>
            <w:top w:w="0" w:type="dxa"/>
            <w:left w:w="108" w:type="dxa"/>
            <w:bottom w:w="0" w:type="dxa"/>
            <w:right w:w="108" w:type="dxa"/>
          </w:tblCellMar>
        </w:tblPrEx>
        <w:trPr>
          <w:trHeight w:val="1453" w:hRule="atLeast"/>
        </w:trPr>
        <w:tc>
          <w:tcPr>
            <w:tcW w:w="8492" w:type="dxa"/>
            <w:tcBorders>
              <w:top w:val="nil"/>
              <w:left w:val="single" w:color="auto" w:sz="4" w:space="0"/>
              <w:bottom w:val="single" w:color="auto" w:sz="4" w:space="0"/>
              <w:right w:val="single" w:color="auto" w:sz="4" w:space="0"/>
            </w:tcBorders>
            <w:noWrap w:val="0"/>
            <w:vAlign w:val="center"/>
          </w:tcPr>
          <w:p w14:paraId="3A5802E7">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超高速耐写型PCIe闪存卡(NVMe)</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Sun Flash Accelerator F640 PCIe Adapter (NVMe)</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- 6.4 TB NVMe 设备</w:t>
            </w:r>
          </w:p>
        </w:tc>
        <w:tc>
          <w:tcPr>
            <w:tcW w:w="743" w:type="dxa"/>
            <w:tcBorders>
              <w:top w:val="nil"/>
              <w:left w:val="nil"/>
              <w:bottom w:val="single" w:color="auto" w:sz="4" w:space="0"/>
              <w:right w:val="single" w:color="auto" w:sz="4" w:space="0"/>
            </w:tcBorders>
            <w:noWrap w:val="0"/>
            <w:vAlign w:val="center"/>
          </w:tcPr>
          <w:p w14:paraId="123BB612">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14:paraId="2544A2C2">
        <w:tblPrEx>
          <w:tblCellMar>
            <w:top w:w="0" w:type="dxa"/>
            <w:left w:w="108" w:type="dxa"/>
            <w:bottom w:w="0" w:type="dxa"/>
            <w:right w:w="108" w:type="dxa"/>
          </w:tblCellMar>
        </w:tblPrEx>
        <w:trPr>
          <w:trHeight w:val="1453" w:hRule="atLeast"/>
        </w:trPr>
        <w:tc>
          <w:tcPr>
            <w:tcW w:w="8492" w:type="dxa"/>
            <w:tcBorders>
              <w:top w:val="nil"/>
              <w:left w:val="single" w:color="auto" w:sz="4" w:space="0"/>
              <w:bottom w:val="single" w:color="auto" w:sz="4" w:space="0"/>
              <w:right w:val="single" w:color="auto" w:sz="4" w:space="0"/>
            </w:tcBorders>
            <w:noWrap w:val="0"/>
            <w:vAlign w:val="center"/>
          </w:tcPr>
          <w:p w14:paraId="0636396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36口 InfiniBand交换机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Sun Datacenter InfiniBand Switch 36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冗余电源与冷却模块</w:t>
            </w:r>
          </w:p>
        </w:tc>
        <w:tc>
          <w:tcPr>
            <w:tcW w:w="743" w:type="dxa"/>
            <w:tcBorders>
              <w:top w:val="nil"/>
              <w:left w:val="nil"/>
              <w:bottom w:val="single" w:color="auto" w:sz="4" w:space="0"/>
              <w:right w:val="single" w:color="auto" w:sz="4" w:space="0"/>
            </w:tcBorders>
            <w:noWrap w:val="0"/>
            <w:vAlign w:val="center"/>
          </w:tcPr>
          <w:p w14:paraId="5613C833">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73034B7B">
        <w:tblPrEx>
          <w:tblCellMar>
            <w:top w:w="0" w:type="dxa"/>
            <w:left w:w="108" w:type="dxa"/>
            <w:bottom w:w="0" w:type="dxa"/>
            <w:right w:w="108" w:type="dxa"/>
          </w:tblCellMar>
        </w:tblPrEx>
        <w:trPr>
          <w:trHeight w:val="1453" w:hRule="atLeast"/>
        </w:trPr>
        <w:tc>
          <w:tcPr>
            <w:tcW w:w="8492" w:type="dxa"/>
            <w:tcBorders>
              <w:top w:val="nil"/>
              <w:left w:val="single" w:color="auto" w:sz="4" w:space="0"/>
              <w:bottom w:val="single" w:color="auto" w:sz="4" w:space="0"/>
              <w:right w:val="single" w:color="auto" w:sz="4" w:space="0"/>
            </w:tcBorders>
            <w:noWrap w:val="0"/>
            <w:vAlign w:val="center"/>
          </w:tcPr>
          <w:p w14:paraId="19AE843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万兆网光纤模块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Dual rate transceiver: SFP+ SR. Support 1 Gb/sec and 10 Gb/sec dual rate</w:t>
            </w:r>
          </w:p>
        </w:tc>
        <w:tc>
          <w:tcPr>
            <w:tcW w:w="743" w:type="dxa"/>
            <w:tcBorders>
              <w:top w:val="nil"/>
              <w:left w:val="nil"/>
              <w:bottom w:val="single" w:color="auto" w:sz="4" w:space="0"/>
              <w:right w:val="single" w:color="auto" w:sz="4" w:space="0"/>
            </w:tcBorders>
            <w:noWrap w:val="0"/>
            <w:vAlign w:val="center"/>
          </w:tcPr>
          <w:p w14:paraId="3C1A2697">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14:paraId="606C48EC">
        <w:tblPrEx>
          <w:tblCellMar>
            <w:top w:w="0" w:type="dxa"/>
            <w:left w:w="108" w:type="dxa"/>
            <w:bottom w:w="0" w:type="dxa"/>
            <w:right w:w="108" w:type="dxa"/>
          </w:tblCellMar>
        </w:tblPrEx>
        <w:trPr>
          <w:trHeight w:val="2896" w:hRule="atLeast"/>
        </w:trPr>
        <w:tc>
          <w:tcPr>
            <w:tcW w:w="8492" w:type="dxa"/>
            <w:tcBorders>
              <w:top w:val="nil"/>
              <w:left w:val="single" w:color="auto" w:sz="4" w:space="0"/>
              <w:bottom w:val="single" w:color="auto" w:sz="4" w:space="0"/>
              <w:right w:val="single" w:color="auto" w:sz="4" w:space="0"/>
            </w:tcBorders>
            <w:noWrap w:val="0"/>
            <w:vAlign w:val="center"/>
          </w:tcPr>
          <w:p w14:paraId="1AAABE3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48口千兆网络交换机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Cisco Nexus 93108TC-EX-1G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(48) 100/1000/10000 Mb/sec RJ45 端口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(6) 40/100 Gb/sec SFP28 ports 上连端口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冗余电源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热交换风扇</w:t>
            </w:r>
          </w:p>
        </w:tc>
        <w:tc>
          <w:tcPr>
            <w:tcW w:w="743" w:type="dxa"/>
            <w:tcBorders>
              <w:top w:val="nil"/>
              <w:left w:val="nil"/>
              <w:bottom w:val="single" w:color="auto" w:sz="4" w:space="0"/>
              <w:right w:val="single" w:color="auto" w:sz="4" w:space="0"/>
            </w:tcBorders>
            <w:noWrap w:val="0"/>
            <w:vAlign w:val="center"/>
          </w:tcPr>
          <w:p w14:paraId="1C7FECDB">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FA9C29E">
        <w:tblPrEx>
          <w:tblCellMar>
            <w:top w:w="0" w:type="dxa"/>
            <w:left w:w="108" w:type="dxa"/>
            <w:bottom w:w="0" w:type="dxa"/>
            <w:right w:w="108" w:type="dxa"/>
          </w:tblCellMar>
        </w:tblPrEx>
        <w:trPr>
          <w:trHeight w:val="1453" w:hRule="atLeast"/>
        </w:trPr>
        <w:tc>
          <w:tcPr>
            <w:tcW w:w="8492" w:type="dxa"/>
            <w:tcBorders>
              <w:top w:val="nil"/>
              <w:left w:val="single" w:color="auto" w:sz="4" w:space="0"/>
              <w:bottom w:val="single" w:color="auto" w:sz="4" w:space="0"/>
              <w:right w:val="single" w:color="auto" w:sz="4" w:space="0"/>
            </w:tcBorders>
            <w:noWrap w:val="0"/>
            <w:vAlign w:val="center"/>
          </w:tcPr>
          <w:p w14:paraId="78F5ECC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42U机柜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Sun Rack 1242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(2) 22 kVA, 1-phase PDUs</w:t>
            </w:r>
          </w:p>
        </w:tc>
        <w:tc>
          <w:tcPr>
            <w:tcW w:w="743" w:type="dxa"/>
            <w:tcBorders>
              <w:top w:val="nil"/>
              <w:left w:val="nil"/>
              <w:bottom w:val="single" w:color="auto" w:sz="4" w:space="0"/>
              <w:right w:val="single" w:color="auto" w:sz="4" w:space="0"/>
            </w:tcBorders>
            <w:noWrap w:val="0"/>
            <w:vAlign w:val="center"/>
          </w:tcPr>
          <w:p w14:paraId="42F89FF8">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70CD8CF3">
        <w:tblPrEx>
          <w:tblCellMar>
            <w:top w:w="0" w:type="dxa"/>
            <w:left w:w="108" w:type="dxa"/>
            <w:bottom w:w="0" w:type="dxa"/>
            <w:right w:w="108" w:type="dxa"/>
          </w:tblCellMar>
        </w:tblPrEx>
        <w:trPr>
          <w:trHeight w:val="1463" w:hRule="atLeast"/>
        </w:trPr>
        <w:tc>
          <w:tcPr>
            <w:tcW w:w="8492" w:type="dxa"/>
            <w:tcBorders>
              <w:top w:val="single" w:color="auto" w:sz="4" w:space="0"/>
              <w:left w:val="single" w:color="auto" w:sz="4" w:space="0"/>
              <w:bottom w:val="single" w:color="auto" w:sz="4" w:space="0"/>
              <w:right w:val="single" w:color="auto" w:sz="4" w:space="0"/>
            </w:tcBorders>
            <w:noWrap w:val="0"/>
            <w:vAlign w:val="center"/>
          </w:tcPr>
          <w:p w14:paraId="0ED0DC6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现场备件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- 10 TB 7200 rpm SAS-3 内置硬盘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- 6.4TB Sun Flash Accelerator F640 PCIe Adapter (NVMe)</w:t>
            </w:r>
          </w:p>
        </w:tc>
        <w:tc>
          <w:tcPr>
            <w:tcW w:w="743" w:type="dxa"/>
            <w:tcBorders>
              <w:top w:val="single" w:color="auto" w:sz="4" w:space="0"/>
              <w:left w:val="nil"/>
              <w:bottom w:val="single" w:color="auto" w:sz="4" w:space="0"/>
              <w:right w:val="single" w:color="auto" w:sz="4" w:space="0"/>
            </w:tcBorders>
            <w:noWrap w:val="0"/>
            <w:vAlign w:val="center"/>
          </w:tcPr>
          <w:p w14:paraId="0C05B375">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14:paraId="72D769D8">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系统硬件</w:t>
      </w:r>
    </w:p>
    <w:p w14:paraId="48C35296">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通过预防性检查对系统硬件进行检测和诊断，对系统中潜在的硬件故障采取预防措施。如果某些部件出现无法恢复的故障，应尽快予以修理更换，直至排除故障。</w:t>
      </w:r>
    </w:p>
    <w:p w14:paraId="3C816843">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sz w:val="24"/>
          <w:szCs w:val="24"/>
          <w:highlight w:val="none"/>
          <w:lang w:val="zh-CN"/>
        </w:rPr>
        <w:t>供应商所承担的系统服务内容包括系统定期预防性检查维护、系统故障响应修复</w:t>
      </w:r>
      <w:r>
        <w:rPr>
          <w:rFonts w:hint="eastAsia" w:ascii="宋体" w:hAnsi="宋体" w:eastAsia="宋体" w:cs="宋体"/>
          <w:sz w:val="24"/>
          <w:szCs w:val="24"/>
          <w:highlight w:val="none"/>
        </w:rPr>
        <w:t>和灾难保障</w:t>
      </w:r>
      <w:r>
        <w:rPr>
          <w:rFonts w:hint="eastAsia" w:ascii="宋体" w:hAnsi="宋体" w:eastAsia="宋体" w:cs="宋体"/>
          <w:sz w:val="24"/>
          <w:szCs w:val="24"/>
          <w:highlight w:val="none"/>
          <w:lang w:val="zh-CN"/>
        </w:rPr>
        <w:t>服务；备份一体机数据库运维；实施</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sz w:val="24"/>
          <w:szCs w:val="24"/>
          <w:lang w:val="zh-CN"/>
        </w:rPr>
        <w:t>系统软硬件升级，提供相应的培训与技术咨询；关键时点的系统保障等。</w:t>
      </w:r>
    </w:p>
    <w:p w14:paraId="42541E75">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系统预防性检查维护</w:t>
      </w:r>
    </w:p>
    <w:p w14:paraId="6B6965C5">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系统预防性检查维护是指每季度供应商对</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val="zh-CN"/>
        </w:rPr>
        <w:t>的零丢失备份一体机进行全面检测，确认设备运行状态，检查系统错误记录，排除潜在隐患，以确保业务系统能正常稳定的运行。具体维护计划为：</w:t>
      </w:r>
    </w:p>
    <w:p w14:paraId="06B9C6D9">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）监控功能：帮助</w:t>
      </w:r>
      <w:r>
        <w:rPr>
          <w:rFonts w:hint="eastAsia" w:ascii="宋体" w:hAnsi="宋体" w:eastAsia="宋体" w:cs="宋体"/>
          <w:b/>
          <w:bCs/>
          <w:color w:val="auto"/>
          <w:sz w:val="24"/>
          <w:szCs w:val="24"/>
          <w:highlight w:val="none"/>
          <w:lang w:val="en-US" w:eastAsia="zh-CN"/>
        </w:rPr>
        <w:t>采购单位</w:t>
      </w:r>
      <w:r>
        <w:rPr>
          <w:rFonts w:hint="eastAsia" w:ascii="宋体" w:hAnsi="宋体" w:eastAsia="宋体" w:cs="宋体"/>
          <w:b/>
          <w:bCs/>
          <w:color w:val="auto"/>
          <w:sz w:val="24"/>
          <w:szCs w:val="24"/>
          <w:highlight w:val="none"/>
          <w:lang w:eastAsia="zh-CN"/>
        </w:rPr>
        <w:t>建立监控机制，使一体机各类软硬件故障能及时报警、及时发现。</w:t>
      </w:r>
    </w:p>
    <w:p w14:paraId="782786BB">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通过OEM统一管理仪表盘，监控ZDLRA的软硬件运行状况；</w:t>
      </w:r>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zh-CN"/>
        </w:rPr>
        <w:t> 定期运行ZDLRA系统的任务检查脚本，确认任务完成状况；</w:t>
      </w:r>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zh-CN"/>
        </w:rPr>
        <w:t> 定期运行Exachk检查，查看结果并采取相应措施；</w:t>
      </w:r>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zh-CN"/>
        </w:rPr>
        <w:t> 定期审核一次容量使用报告；</w:t>
      </w:r>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zh-CN"/>
        </w:rPr>
        <w:t> 检查数据库恢复窗口的状况；</w:t>
      </w:r>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zh-CN"/>
        </w:rPr>
        <w:t> 检查保护数据库的备份状况；</w:t>
      </w:r>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zh-CN"/>
        </w:rPr>
        <w:t> 建立告警机制，并自动发送邮件告知管理员。</w:t>
      </w:r>
    </w:p>
    <w:p w14:paraId="0671BB81">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）硬件故障解决：</w:t>
      </w:r>
      <w:r>
        <w:rPr>
          <w:rFonts w:hint="eastAsia" w:ascii="宋体" w:hAnsi="宋体" w:eastAsia="宋体" w:cs="宋体"/>
          <w:b w:val="0"/>
          <w:bCs w:val="0"/>
          <w:color w:val="auto"/>
          <w:sz w:val="24"/>
          <w:szCs w:val="24"/>
          <w:highlight w:val="none"/>
          <w:lang w:eastAsia="zh-CN"/>
        </w:rPr>
        <w:t>对一体机自身出现的各类硬件故障，协助客户定位故障原因，并第一时间现场解决。</w:t>
      </w:r>
    </w:p>
    <w:p w14:paraId="39E8D39A">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）软件故障处理：</w:t>
      </w:r>
      <w:r>
        <w:rPr>
          <w:rFonts w:hint="eastAsia" w:ascii="宋体" w:hAnsi="宋体" w:eastAsia="宋体" w:cs="宋体"/>
          <w:b w:val="0"/>
          <w:bCs w:val="0"/>
          <w:color w:val="auto"/>
          <w:sz w:val="24"/>
          <w:szCs w:val="24"/>
          <w:highlight w:val="none"/>
          <w:lang w:eastAsia="zh-CN"/>
        </w:rPr>
        <w:t>对一体机软件故障，应持续不断地为</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eastAsia="zh-CN"/>
        </w:rPr>
        <w:t>提供电话技术支持服务，协助客户解决问题，报告缺陷等。</w:t>
      </w:r>
    </w:p>
    <w:p w14:paraId="4FFC2A7B">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）备份一体机数据库运维：</w:t>
      </w:r>
      <w:r>
        <w:rPr>
          <w:rFonts w:hint="eastAsia" w:ascii="宋体" w:hAnsi="宋体" w:eastAsia="宋体" w:cs="宋体"/>
          <w:b w:val="0"/>
          <w:bCs w:val="0"/>
          <w:color w:val="auto"/>
          <w:sz w:val="24"/>
          <w:szCs w:val="24"/>
          <w:highlight w:val="none"/>
          <w:lang w:eastAsia="zh-CN"/>
        </w:rPr>
        <w:t>具备自动化性能监控软件工具采集系统运行时的各项监控数据，分析系统主要的数据库性能瓶颈，分析应用软件及数据库等各方面资源的使用情况，确定系统性能现状及性能调整的目标，定位系统中出现的性能瓶颈，测试验证针对性能瓶颈进行的改进方案，产生基于ORACLE最佳应用准则的性能调整建议报告。</w:t>
      </w:r>
    </w:p>
    <w:p w14:paraId="5EA5C7C7">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）微码升级、补丁修复：</w:t>
      </w:r>
      <w:r>
        <w:rPr>
          <w:rFonts w:hint="eastAsia" w:ascii="宋体" w:hAnsi="宋体" w:eastAsia="宋体" w:cs="宋体"/>
          <w:b w:val="0"/>
          <w:bCs w:val="0"/>
          <w:color w:val="auto"/>
          <w:sz w:val="24"/>
          <w:szCs w:val="24"/>
          <w:highlight w:val="none"/>
          <w:lang w:eastAsia="zh-CN"/>
        </w:rPr>
        <w:t>对一体机自身存在的重大缺陷，主动进行微码升级和补丁修复。</w:t>
      </w:r>
    </w:p>
    <w:p w14:paraId="2A00D9BB">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）数据库的备份恢复</w:t>
      </w:r>
      <w:r>
        <w:rPr>
          <w:rFonts w:hint="eastAsia" w:ascii="宋体" w:hAnsi="宋体" w:eastAsia="宋体" w:cs="宋体"/>
          <w:b w:val="0"/>
          <w:bCs w:val="0"/>
          <w:color w:val="auto"/>
          <w:sz w:val="24"/>
          <w:szCs w:val="24"/>
          <w:highlight w:val="none"/>
          <w:lang w:eastAsia="zh-CN"/>
        </w:rPr>
        <w:t>：对数据库的备份完整性和可恢复性进行检查，保证数据可恢复。</w:t>
      </w:r>
    </w:p>
    <w:p w14:paraId="3CD0B31A">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）咨询服务</w:t>
      </w:r>
    </w:p>
    <w:p w14:paraId="5C919F3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供应商应及时了解系统的运行状况，</w:t>
      </w:r>
      <w:r>
        <w:rPr>
          <w:rFonts w:hint="eastAsia" w:ascii="宋体" w:hAnsi="宋体" w:eastAsia="宋体" w:cs="宋体"/>
          <w:b w:val="0"/>
          <w:bCs w:val="0"/>
          <w:color w:val="auto"/>
          <w:sz w:val="24"/>
          <w:szCs w:val="24"/>
          <w:highlight w:val="none"/>
          <w:lang w:eastAsia="zh-CN"/>
        </w:rPr>
        <w:t>应对零丢失备份一体机的日常使用提供咨询服务，并根据</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eastAsia="zh-CN"/>
        </w:rPr>
        <w:t>需求提供改进建议</w:t>
      </w:r>
      <w:r>
        <w:rPr>
          <w:rFonts w:hint="eastAsia" w:ascii="宋体" w:hAnsi="宋体" w:eastAsia="宋体" w:cs="宋体"/>
          <w:b w:val="0"/>
          <w:bCs w:val="0"/>
          <w:color w:val="auto"/>
          <w:sz w:val="24"/>
          <w:szCs w:val="24"/>
          <w:highlight w:val="none"/>
          <w:lang w:val="zh-CN" w:eastAsia="zh-CN"/>
        </w:rPr>
        <w:t>。</w:t>
      </w:r>
    </w:p>
    <w:p w14:paraId="258E6F3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对于</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非计划性现场巡检要求必须有实质响应。</w:t>
      </w:r>
    </w:p>
    <w:p w14:paraId="7BBBF585">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sz w:val="24"/>
          <w:szCs w:val="24"/>
          <w:lang w:val="zh-CN"/>
        </w:rPr>
        <w:t>故障响应服务</w:t>
      </w:r>
    </w:p>
    <w:p w14:paraId="2E805F33">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供应商提供7×24小时响应服务，具体内容如下：</w:t>
      </w:r>
    </w:p>
    <w:p w14:paraId="58A3B163">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CN"/>
        </w:rPr>
        <w:t>）非系统崩溃故障响应</w:t>
      </w:r>
    </w:p>
    <w:p w14:paraId="0EDB5D86">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对于不影响</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业务工作的一般性非系统崩溃故障，供应商应向</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提供热线电话故障支持服务，包括通过电话进行技术支持和远程登录。</w:t>
      </w:r>
      <w:r>
        <w:rPr>
          <w:rFonts w:hint="eastAsia" w:ascii="宋体" w:hAnsi="宋体" w:eastAsia="宋体" w:cs="宋体"/>
          <w:b w:val="0"/>
          <w:bCs w:val="0"/>
          <w:color w:val="auto"/>
          <w:sz w:val="24"/>
          <w:szCs w:val="24"/>
          <w:highlight w:val="none"/>
          <w:lang w:val="en-US" w:eastAsia="zh-CN"/>
        </w:rPr>
        <w:t>若</w:t>
      </w:r>
      <w:r>
        <w:rPr>
          <w:rFonts w:hint="eastAsia" w:ascii="宋体" w:hAnsi="宋体" w:eastAsia="宋体" w:cs="宋体"/>
          <w:b w:val="0"/>
          <w:bCs w:val="0"/>
          <w:color w:val="auto"/>
          <w:sz w:val="24"/>
          <w:szCs w:val="24"/>
          <w:highlight w:val="none"/>
          <w:lang w:val="zh-CN" w:eastAsia="zh-CN"/>
        </w:rPr>
        <w:t>远程支持不能解决问题，则根据</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要求，在指定时间内到达现场，解决故障问题。</w:t>
      </w:r>
    </w:p>
    <w:p w14:paraId="098E667D">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）系统崩溃</w:t>
      </w:r>
    </w:p>
    <w:p w14:paraId="38689583">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如果系统崩溃或系统故障已导致业务工作不能正常进行，供应商应在接到故障报告后立即向</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提供电话支持服务，并根据</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要求提供快速的现场维保服务并解决故障问题。</w:t>
      </w:r>
    </w:p>
    <w:p w14:paraId="303DAA08">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val="zh-CN"/>
        </w:rPr>
        <w:t>技术咨询</w:t>
      </w:r>
    </w:p>
    <w:p w14:paraId="56A0F189">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color w:val="auto"/>
          <w:sz w:val="24"/>
          <w:szCs w:val="24"/>
          <w:highlight w:val="none"/>
          <w:lang w:val="zh-CN" w:eastAsia="zh-CN"/>
        </w:rPr>
        <w:t>根据</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要求，供应商提供</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eastAsia="zh-CN"/>
        </w:rPr>
        <w:t>有关系统使用管理、性能优化等方面的</w:t>
      </w:r>
      <w:r>
        <w:rPr>
          <w:rFonts w:hint="eastAsia" w:ascii="宋体" w:hAnsi="宋体" w:eastAsia="宋体" w:cs="宋体"/>
          <w:sz w:val="24"/>
          <w:szCs w:val="24"/>
          <w:lang w:val="zh-CN"/>
        </w:rPr>
        <w:t>技术咨询。</w:t>
      </w:r>
    </w:p>
    <w:p w14:paraId="47A13C0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sz w:val="24"/>
          <w:szCs w:val="24"/>
          <w:lang w:val="zh-CN"/>
        </w:rPr>
        <w:t>热线电话</w:t>
      </w:r>
    </w:p>
    <w:p w14:paraId="70DB6CE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供应商提供7×24小时服务热线电话，在</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sz w:val="24"/>
          <w:szCs w:val="24"/>
          <w:lang w:val="zh-CN"/>
        </w:rPr>
        <w:t>发现系统故障或遇到难以解决的疑难问题时给予立即响应。在非工作时间应提供可以直接拨打的服务工程师的移动电话。</w:t>
      </w:r>
    </w:p>
    <w:p w14:paraId="47C06DAE">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故障服务质量保证</w:t>
      </w:r>
    </w:p>
    <w:p w14:paraId="6AB27D52">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供应商为</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 xml:space="preserve">提供的服务是7×24小时响应服务。需要现场维护的，维保商须4小时到达现场，到达现场后应在2小时内解决； </w:t>
      </w:r>
    </w:p>
    <w:p w14:paraId="06468E2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提供7×24小时电话支持服务，接到报修电话后，在10分钟内进行电话响应及远程处理，节假日提供值班手机。</w:t>
      </w:r>
    </w:p>
    <w:p w14:paraId="64988AB1">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8.灾难恢复响应 </w:t>
      </w:r>
    </w:p>
    <w:p w14:paraId="32AB0E9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供应商应根据采购单位实际情况制定相应灾难应急方案，如果出现重大故障，数据库不能启动，供应商须在采购单位数据库运维服务商的配合下完成数据的备份与恢复工作。</w:t>
      </w:r>
    </w:p>
    <w:p w14:paraId="36603562">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应急演练</w:t>
      </w:r>
      <w:r>
        <w:rPr>
          <w:rFonts w:hint="eastAsia" w:ascii="宋体" w:hAnsi="宋体" w:eastAsia="宋体" w:cs="宋体"/>
          <w:sz w:val="24"/>
          <w:szCs w:val="24"/>
          <w:lang w:val="en-US" w:eastAsia="zh-CN"/>
        </w:rPr>
        <w:t>服务</w:t>
      </w:r>
    </w:p>
    <w:p w14:paraId="22E3EFD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对于采购单位的应急演练或者重大变更需求，一年提供不少于一次的应急演练服务，供应商须根据采购单位的实际情况，协助采购单位制定变更方案，并提供人员和备件standby服务。</w:t>
      </w:r>
    </w:p>
    <w:p w14:paraId="4E8C1D11">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备品保障及支持体系要求</w:t>
      </w:r>
    </w:p>
    <w:p w14:paraId="6B73A2F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供应商应针对本项目提供完备的备</w:t>
      </w:r>
      <w:r>
        <w:rPr>
          <w:rFonts w:hint="eastAsia" w:ascii="宋体" w:hAnsi="宋体" w:eastAsia="宋体" w:cs="宋体"/>
          <w:sz w:val="24"/>
          <w:szCs w:val="24"/>
          <w:lang w:val="en-US" w:eastAsia="zh-CN"/>
        </w:rPr>
        <w:t>品</w:t>
      </w:r>
      <w:r>
        <w:rPr>
          <w:rFonts w:hint="eastAsia" w:ascii="宋体" w:hAnsi="宋体" w:eastAsia="宋体" w:cs="宋体"/>
          <w:sz w:val="24"/>
          <w:szCs w:val="24"/>
          <w:lang w:val="zh-CN" w:eastAsia="zh-CN"/>
        </w:rPr>
        <w:t>备件保障，应详细说明日常备件保障及支持体系，并提供拟为本项目专门配备的详细备</w:t>
      </w:r>
      <w:r>
        <w:rPr>
          <w:rFonts w:hint="eastAsia" w:ascii="宋体" w:hAnsi="宋体" w:eastAsia="宋体" w:cs="宋体"/>
          <w:sz w:val="24"/>
          <w:szCs w:val="24"/>
          <w:lang w:val="en-US" w:eastAsia="zh-CN"/>
        </w:rPr>
        <w:t>品</w:t>
      </w:r>
      <w:r>
        <w:rPr>
          <w:rFonts w:hint="eastAsia" w:ascii="宋体" w:hAnsi="宋体" w:eastAsia="宋体" w:cs="宋体"/>
          <w:sz w:val="24"/>
          <w:szCs w:val="24"/>
          <w:lang w:val="zh-CN" w:eastAsia="zh-CN"/>
        </w:rPr>
        <w:t>备件清单，详细说明备件名称、数量、存放地点，并明确承诺备机备件到达设备故障现场时间。</w:t>
      </w:r>
    </w:p>
    <w:p w14:paraId="7893459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供应商应保证</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eastAsia="zh-CN"/>
        </w:rPr>
        <w:t>12个月的备件和消耗品的需求。这些备件及消耗品内容包括：满足</w:t>
      </w:r>
      <w:r>
        <w:rPr>
          <w:rFonts w:hint="eastAsia" w:ascii="宋体" w:hAnsi="宋体" w:eastAsia="宋体" w:cs="宋体"/>
          <w:sz w:val="24"/>
          <w:szCs w:val="24"/>
          <w:lang w:val="en-US" w:eastAsia="zh-CN"/>
        </w:rPr>
        <w:t>项目</w:t>
      </w:r>
      <w:r>
        <w:rPr>
          <w:rFonts w:hint="eastAsia" w:ascii="宋体" w:hAnsi="宋体" w:eastAsia="宋体" w:cs="宋体"/>
          <w:sz w:val="24"/>
          <w:szCs w:val="24"/>
          <w:lang w:val="zh-CN" w:eastAsia="zh-CN"/>
        </w:rPr>
        <w:t>需求的备件和消耗品，供应商依据IT业界的标准、惯例以及以往的经验增加用户未曾指定的备件或消耗品。</w:t>
      </w:r>
    </w:p>
    <w:p w14:paraId="6098F52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eastAsia="zh-CN"/>
        </w:rPr>
        <w:t>不定期对供应商针对备件进行现场抽检，对出现的问题限期整改，如还不能达到要求，</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eastAsia="zh-CN"/>
        </w:rPr>
        <w:t>有权采取相应惩罚措施。</w:t>
      </w:r>
    </w:p>
    <w:p w14:paraId="2E6BD944">
      <w:pPr>
        <w:pStyle w:val="2"/>
        <w:keepNext w:val="0"/>
        <w:keepLines w:val="0"/>
        <w:pageBreakBefore w:val="0"/>
        <w:kinsoku/>
        <w:wordWrap/>
        <w:overflowPunct/>
        <w:topLinePunct w:val="0"/>
        <w:autoSpaceDE w:val="0"/>
        <w:autoSpaceDN w:val="0"/>
        <w:bidi w:val="0"/>
        <w:adjustRightInd w:val="0"/>
        <w:snapToGrid/>
        <w:spacing w:before="0" w:after="0" w:line="360" w:lineRule="auto"/>
        <w:ind w:left="34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14:paraId="62AC27BD">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rPr>
        <w:t>1.</w:t>
      </w:r>
      <w:r>
        <w:rPr>
          <w:rFonts w:hint="eastAsia" w:ascii="宋体" w:hAnsi="宋体" w:eastAsia="宋体" w:cs="宋体"/>
          <w:sz w:val="24"/>
          <w:szCs w:val="24"/>
          <w:lang w:val="zh-CN"/>
        </w:rPr>
        <w:t>项目管理要求</w:t>
      </w:r>
    </w:p>
    <w:p w14:paraId="6D0A2BD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）供应商应提供针对本项目的服务计划和方案，包括（但不限于）以下内容：</w:t>
      </w:r>
    </w:p>
    <w:p w14:paraId="5FCCB9A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管理模式及拟为本项目设立的组织机构/管理架构图；</w:t>
      </w:r>
    </w:p>
    <w:p w14:paraId="53763BC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工作计划、人员配备、必须的物质装备计划，及拟投入本项目的主要用品、工具及设备清单；</w:t>
      </w:r>
    </w:p>
    <w:p w14:paraId="2515EB3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拟在本项目任职的主要管理人员的简历表及背景资料；</w:t>
      </w:r>
    </w:p>
    <w:p w14:paraId="27B427F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培训计划；</w:t>
      </w:r>
    </w:p>
    <w:p w14:paraId="02F2C5B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沟通管理；</w:t>
      </w:r>
    </w:p>
    <w:p w14:paraId="6ECE344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备件管理；</w:t>
      </w:r>
    </w:p>
    <w:p w14:paraId="16975E8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各项服务指标的承诺及为完成承诺指标采取的措施；</w:t>
      </w:r>
    </w:p>
    <w:p w14:paraId="2753414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其他延伸服务。</w:t>
      </w:r>
    </w:p>
    <w:p w14:paraId="1243C7C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）供应商应派遣一名具有专业知识的资深管理人员作为与</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eastAsia="zh-CN"/>
        </w:rPr>
        <w:t>的接口，负责本项目的项目管理，统筹相关工作，项目监督与情况汇报，控制工作质量和预算，执行变更和应急情况管理，并根据实际状况调整</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人员安排，以保证此项目的正常高效运作。</w:t>
      </w:r>
    </w:p>
    <w:p w14:paraId="289014E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）项目实施工程师</w:t>
      </w:r>
      <w:r>
        <w:rPr>
          <w:rFonts w:hint="eastAsia" w:ascii="宋体" w:hAnsi="宋体" w:eastAsia="宋体" w:cs="宋体"/>
          <w:sz w:val="24"/>
          <w:szCs w:val="24"/>
          <w:lang w:val="en-US" w:eastAsia="zh-CN"/>
        </w:rPr>
        <w:t>不得随意更换</w:t>
      </w:r>
      <w:r>
        <w:rPr>
          <w:rFonts w:hint="eastAsia" w:ascii="宋体" w:hAnsi="宋体" w:eastAsia="宋体" w:cs="宋体"/>
          <w:sz w:val="24"/>
          <w:szCs w:val="24"/>
          <w:lang w:val="zh-CN" w:eastAsia="zh-CN"/>
        </w:rPr>
        <w:t>，并提供主备名单，主备工程师都应具备技术能力及资质证书，熟悉</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eastAsia="zh-CN"/>
        </w:rPr>
        <w:t>维保环境。</w:t>
      </w:r>
    </w:p>
    <w:p w14:paraId="3D1A0841">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服务档案</w:t>
      </w:r>
    </w:p>
    <w:p w14:paraId="59E48F9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对</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的所有服务范围内的系统，供应商应建立相应的系统维护档案，并根据每次故障维修报告和预防性维护报告建立技术档案，记录每次故障响应服务和预防性维护的详细信息。并协助</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做好维保设备档案维护。</w:t>
      </w:r>
    </w:p>
    <w:p w14:paraId="3C6E283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）季度维护报告</w:t>
      </w:r>
    </w:p>
    <w:p w14:paraId="104C09F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供应商每个季度派经验丰富的工程师到</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对系统进行预防性检查维护，每次巡检结束在两周内提供季度维护报告。</w:t>
      </w:r>
    </w:p>
    <w:p w14:paraId="42BF613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）维保小结和总结</w:t>
      </w:r>
    </w:p>
    <w:p w14:paraId="62A82E1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每个季度</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组织对维保情况进行总结打分，对存在问题要求整改落实；每半年双方就维保周期内的系统维护状况举办一次研讨会，对于季度小结中仍然存在的问题</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 xml:space="preserve">有权采取相应惩罚措施。 </w:t>
      </w:r>
    </w:p>
    <w:p w14:paraId="7667B539">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服务责任赔偿</w:t>
      </w:r>
    </w:p>
    <w:p w14:paraId="49AF758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）供应商委派的工作人员由于工作过失或蓄意破坏所造成</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经济和信誉损失的，由供应商承担全部经济损失和法律责任。</w:t>
      </w:r>
    </w:p>
    <w:p w14:paraId="023EBB4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供应商委派的工作人员对</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系统信息及业务信息有保守秘密的义务，如有泄密而造成</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损失的，其损失由供应商负责赔偿。</w:t>
      </w:r>
    </w:p>
    <w:p w14:paraId="48A3B9C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）供应商如不能按“预防性定期检修服务要求”条款的要求提供服务或不做预防性定期检修服务的属违约，一年中违约次数超过3次的应向</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偿付本合同总价款的5％的违约金。</w:t>
      </w:r>
    </w:p>
    <w:p w14:paraId="462C716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）供应商如不能按“故障服务质量保证”条款的要求提供服务的属违约，一年中违约次数超过3次的应向</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偿付本合同总价款的5％的违约金。</w:t>
      </w:r>
    </w:p>
    <w:p w14:paraId="4B99E9E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）供应商承诺维保服务中不使用返修配件或有瑕疵的配件，保证配件品质。每发现使用一件次，应向</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偿付本合同总价的1%。</w:t>
      </w:r>
    </w:p>
    <w:p w14:paraId="2DA487C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技术交流及培训</w:t>
      </w:r>
    </w:p>
    <w:p w14:paraId="7247578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供应商应向</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的系统维护人员提供必须的服务技能培训，并对相关技术问题进行充分交流，以提高</w:t>
      </w:r>
      <w:r>
        <w:rPr>
          <w:rFonts w:hint="eastAsia" w:ascii="宋体" w:hAnsi="宋体" w:eastAsia="宋体" w:cs="宋体"/>
          <w:sz w:val="24"/>
          <w:szCs w:val="24"/>
          <w:lang w:val="en-US" w:eastAsia="zh-CN"/>
        </w:rPr>
        <w:t>采购单位</w:t>
      </w:r>
      <w:r>
        <w:rPr>
          <w:rFonts w:hint="eastAsia" w:ascii="宋体" w:hAnsi="宋体" w:eastAsia="宋体" w:cs="宋体"/>
          <w:sz w:val="24"/>
          <w:szCs w:val="24"/>
          <w:lang w:val="zh-CN"/>
        </w:rPr>
        <w:t>维护人员的业务水平，保障生产系统的稳定健康运行。</w:t>
      </w:r>
    </w:p>
    <w:p w14:paraId="231CC2F4">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四、服务地点：</w:t>
      </w:r>
      <w:r>
        <w:rPr>
          <w:rFonts w:hint="eastAsia" w:ascii="宋体" w:hAnsi="宋体" w:eastAsia="宋体" w:cs="宋体"/>
          <w:b w:val="0"/>
          <w:bCs w:val="0"/>
          <w:color w:val="auto"/>
          <w:sz w:val="24"/>
          <w:szCs w:val="24"/>
          <w:highlight w:val="none"/>
        </w:rPr>
        <w:t>采购方指定地点</w:t>
      </w:r>
      <w:r>
        <w:rPr>
          <w:rFonts w:hint="eastAsia" w:ascii="宋体" w:hAnsi="宋体" w:eastAsia="宋体" w:cs="宋体"/>
          <w:color w:val="auto"/>
          <w:sz w:val="24"/>
          <w:szCs w:val="24"/>
          <w:highlight w:val="none"/>
        </w:rPr>
        <w:t>。</w:t>
      </w:r>
    </w:p>
    <w:p w14:paraId="1561EA8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五、服务期限：</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w:t>
      </w:r>
    </w:p>
    <w:p w14:paraId="714AA7D7">
      <w:pPr>
        <w:keepNext w:val="0"/>
        <w:keepLines w:val="0"/>
        <w:pageBreakBefore w:val="0"/>
        <w:kinsoku/>
        <w:wordWrap/>
        <w:overflowPunct/>
        <w:topLinePunct w:val="0"/>
        <w:bidi w:val="0"/>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t>六、付款时间和条件：</w:t>
      </w:r>
      <w:r>
        <w:rPr>
          <w:rFonts w:hint="eastAsia" w:ascii="宋体" w:hAnsi="宋体" w:eastAsia="宋体" w:cs="宋体"/>
          <w:b w:val="0"/>
          <w:bCs w:val="0"/>
          <w:color w:val="auto"/>
          <w:sz w:val="24"/>
          <w:szCs w:val="24"/>
          <w:highlight w:val="none"/>
          <w:lang w:val="en-US" w:eastAsia="zh-CN"/>
        </w:rPr>
        <w:t>合同签订后十五个工作日内支付总金额的50%，验收完成后十五个工作日内支付50%的尾款</w:t>
      </w:r>
      <w:r>
        <w:rPr>
          <w:rFonts w:hint="eastAsia" w:ascii="宋体" w:hAnsi="宋体" w:eastAsia="宋体" w:cs="宋体"/>
          <w:color w:val="auto"/>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65ECE"/>
    <w:rsid w:val="0F16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2024-12-04T01:14:00Z</dcterms:created>
  <dc:creator>Admin</dc:creator>
  <cp:lastModifiedBy>Admin</cp:lastModifiedBy>
  <dcterms:modified xsi:type="dcterms:W3CDTF">2024-12-04T01:15:46Z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2052-12.1.0.18898</vt:lpwstr>
  </property>
  <property fmtid="{D5CDD505-2E9C-101B-9397-08002B2CF9AE}" pid="3" name="ICV">
    <vt:lpwstr>FD78F84EC4BA47A2805A07657A472311_11</vt:lpwstr>
  </property>
</Properties>
</file>