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B2" w:rsidRDefault="00CC056B">
      <w:pPr>
        <w:jc w:val="center"/>
        <w:rPr>
          <w:rFonts w:ascii="宋体" w:eastAsia="宋体" w:hAnsi="宋体" w:cs="宋体"/>
          <w:b/>
          <w:bCs/>
          <w:sz w:val="28"/>
          <w:szCs w:val="36"/>
        </w:rPr>
      </w:pPr>
      <w:r>
        <w:rPr>
          <w:rFonts w:ascii="宋体" w:eastAsia="宋体" w:hAnsi="宋体" w:cs="宋体" w:hint="eastAsia"/>
          <w:b/>
          <w:bCs/>
          <w:sz w:val="28"/>
          <w:szCs w:val="36"/>
        </w:rPr>
        <w:t>2024</w:t>
      </w:r>
      <w:r>
        <w:rPr>
          <w:rFonts w:ascii="宋体" w:eastAsia="宋体" w:hAnsi="宋体" w:cs="宋体" w:hint="eastAsia"/>
          <w:b/>
          <w:bCs/>
          <w:sz w:val="28"/>
          <w:szCs w:val="36"/>
        </w:rPr>
        <w:t>年南通市部分市管企业工资内外收入监督检查项目</w:t>
      </w:r>
      <w:r>
        <w:rPr>
          <w:rFonts w:ascii="宋体" w:eastAsia="宋体" w:hAnsi="宋体" w:cs="宋体" w:hint="eastAsia"/>
          <w:b/>
          <w:bCs/>
          <w:sz w:val="28"/>
          <w:szCs w:val="36"/>
        </w:rPr>
        <w:t>需求</w:t>
      </w:r>
    </w:p>
    <w:p w:rsidR="009F4AB2" w:rsidRDefault="00CC056B">
      <w:pPr>
        <w:spacing w:line="520" w:lineRule="exact"/>
        <w:ind w:firstLineChars="200" w:firstLine="482"/>
        <w:rPr>
          <w:sz w:val="24"/>
        </w:rPr>
      </w:pPr>
      <w:r>
        <w:rPr>
          <w:b/>
          <w:bCs/>
          <w:sz w:val="24"/>
        </w:rPr>
        <w:t>一、项目概况</w:t>
      </w:r>
    </w:p>
    <w:p w:rsidR="009F4AB2" w:rsidRDefault="00CC056B">
      <w:pPr>
        <w:spacing w:line="520" w:lineRule="exact"/>
        <w:ind w:firstLineChars="200" w:firstLine="480"/>
        <w:jc w:val="left"/>
        <w:rPr>
          <w:sz w:val="24"/>
        </w:rPr>
      </w:pPr>
      <w:r>
        <w:rPr>
          <w:sz w:val="24"/>
        </w:rPr>
        <w:t>为加强对国有企业工资收入分配的监督管理，督促市管企业认真执行国家和省、市关于企业工资总额和负责人薪酬管理的有关政策，规范收入分配秩序，拟聘用熟悉相关政策法规、有相关经验的会计事务所对部分市属企业工资内外收入分配情况进行专项检查。</w:t>
      </w:r>
    </w:p>
    <w:p w:rsidR="009F4AB2" w:rsidRDefault="00CC056B">
      <w:pPr>
        <w:spacing w:line="520" w:lineRule="exact"/>
        <w:ind w:firstLineChars="200" w:firstLine="480"/>
        <w:jc w:val="left"/>
        <w:rPr>
          <w:sz w:val="24"/>
        </w:rPr>
      </w:pPr>
      <w:r>
        <w:rPr>
          <w:sz w:val="24"/>
        </w:rPr>
        <w:t>根据</w:t>
      </w:r>
      <w:r>
        <w:rPr>
          <w:sz w:val="24"/>
          <w:lang/>
        </w:rPr>
        <w:t>南通市</w:t>
      </w:r>
      <w:r>
        <w:rPr>
          <w:sz w:val="24"/>
        </w:rPr>
        <w:t>人力资源和社会保障局要求，按照国家和省、市工资收入分配法律法规政策及出资人监管规定，完成</w:t>
      </w:r>
      <w:r>
        <w:rPr>
          <w:sz w:val="24"/>
        </w:rPr>
        <w:t>6</w:t>
      </w:r>
      <w:r>
        <w:rPr>
          <w:sz w:val="24"/>
        </w:rPr>
        <w:t>户市管企业及所属子公司</w:t>
      </w:r>
      <w:r>
        <w:rPr>
          <w:sz w:val="24"/>
        </w:rPr>
        <w:t>2021</w:t>
      </w:r>
      <w:r>
        <w:rPr>
          <w:sz w:val="24"/>
        </w:rPr>
        <w:t>年</w:t>
      </w:r>
      <w:r>
        <w:rPr>
          <w:sz w:val="24"/>
        </w:rPr>
        <w:t>—2023</w:t>
      </w:r>
      <w:r>
        <w:rPr>
          <w:sz w:val="24"/>
        </w:rPr>
        <w:t>年的工资内外收入情况监督检查，按户（集团总部、子公司中的骨干企业各自单独按</w:t>
      </w:r>
      <w:r>
        <w:rPr>
          <w:sz w:val="24"/>
        </w:rPr>
        <w:t>1</w:t>
      </w:r>
      <w:r>
        <w:rPr>
          <w:sz w:val="24"/>
        </w:rPr>
        <w:t>户）出具工资内外收入专项审计报告，另提交总体报告。</w:t>
      </w:r>
    </w:p>
    <w:p w:rsidR="009F4AB2" w:rsidRDefault="00CC056B">
      <w:pPr>
        <w:spacing w:line="520" w:lineRule="exact"/>
        <w:ind w:firstLineChars="200" w:firstLine="482"/>
        <w:rPr>
          <w:b/>
          <w:bCs/>
          <w:sz w:val="24"/>
        </w:rPr>
      </w:pPr>
      <w:r>
        <w:rPr>
          <w:b/>
          <w:bCs/>
          <w:sz w:val="24"/>
        </w:rPr>
        <w:t>二、项目要求</w:t>
      </w:r>
    </w:p>
    <w:p w:rsidR="009F4AB2" w:rsidRDefault="00CC056B">
      <w:pPr>
        <w:spacing w:line="520" w:lineRule="exact"/>
        <w:ind w:firstLineChars="200" w:firstLine="480"/>
        <w:jc w:val="left"/>
        <w:rPr>
          <w:sz w:val="24"/>
        </w:rPr>
      </w:pPr>
      <w:r>
        <w:rPr>
          <w:sz w:val="24"/>
          <w:lang/>
        </w:rPr>
        <w:t>1</w:t>
      </w:r>
      <w:r>
        <w:rPr>
          <w:rFonts w:hint="eastAsia"/>
          <w:sz w:val="24"/>
        </w:rPr>
        <w:t>．</w:t>
      </w:r>
      <w:r>
        <w:rPr>
          <w:sz w:val="24"/>
        </w:rPr>
        <w:t>企业效益实现情况及审计结论。包括但不限于企业期末资产总额、营业收入、利润总额、净利润、资产负债率、净资产收益率、劳动生产率（人均营业收入）、人工成本投入产出率（人工成本利润率、人事费用率）绝对值及增减情况等。</w:t>
      </w:r>
    </w:p>
    <w:p w:rsidR="009F4AB2" w:rsidRDefault="00CC056B">
      <w:pPr>
        <w:spacing w:line="520" w:lineRule="exact"/>
        <w:ind w:firstLineChars="200" w:firstLine="480"/>
        <w:jc w:val="left"/>
        <w:rPr>
          <w:sz w:val="24"/>
        </w:rPr>
      </w:pPr>
      <w:r>
        <w:rPr>
          <w:sz w:val="24"/>
        </w:rPr>
        <w:t>2</w:t>
      </w:r>
      <w:r>
        <w:rPr>
          <w:rFonts w:hint="eastAsia"/>
          <w:sz w:val="24"/>
        </w:rPr>
        <w:t>．</w:t>
      </w:r>
      <w:r>
        <w:rPr>
          <w:sz w:val="24"/>
        </w:rPr>
        <w:t>企业负责人年薪制度实</w:t>
      </w:r>
      <w:r>
        <w:rPr>
          <w:sz w:val="24"/>
        </w:rPr>
        <w:t>发情况及审计结论。包括但不限于企业负责人薪酬确定办法及程序、薪酬构成及水平、与职工收入差距、薪酬外收入发放、信息披露情况等。</w:t>
      </w:r>
    </w:p>
    <w:p w:rsidR="009F4AB2" w:rsidRDefault="00CC056B">
      <w:pPr>
        <w:spacing w:line="520" w:lineRule="exact"/>
        <w:ind w:firstLineChars="200" w:firstLine="480"/>
        <w:jc w:val="left"/>
        <w:rPr>
          <w:sz w:val="24"/>
        </w:rPr>
      </w:pPr>
      <w:r>
        <w:rPr>
          <w:sz w:val="24"/>
        </w:rPr>
        <w:t>3</w:t>
      </w:r>
      <w:r>
        <w:rPr>
          <w:rFonts w:hint="eastAsia"/>
          <w:sz w:val="24"/>
        </w:rPr>
        <w:t>．</w:t>
      </w:r>
      <w:r>
        <w:rPr>
          <w:sz w:val="24"/>
        </w:rPr>
        <w:t>企业工资总额管理情况及审计结论。包括但不限于工资管理制度、工资总额预算、清算、信息披露，以及企业内部薪酬分配情况等。</w:t>
      </w:r>
    </w:p>
    <w:p w:rsidR="009F4AB2" w:rsidRDefault="00CC056B">
      <w:pPr>
        <w:spacing w:line="520" w:lineRule="exact"/>
        <w:ind w:firstLineChars="200" w:firstLine="480"/>
        <w:jc w:val="left"/>
        <w:rPr>
          <w:sz w:val="24"/>
        </w:rPr>
      </w:pPr>
      <w:r>
        <w:rPr>
          <w:sz w:val="24"/>
        </w:rPr>
        <w:t>4</w:t>
      </w:r>
      <w:r>
        <w:rPr>
          <w:rFonts w:hint="eastAsia"/>
          <w:sz w:val="24"/>
        </w:rPr>
        <w:t>．</w:t>
      </w:r>
      <w:r>
        <w:rPr>
          <w:sz w:val="24"/>
        </w:rPr>
        <w:t>企业工资外收入实发情况及审计结论。包括但不限于企业工资外收入的具体项目、发放金额、列支渠道、发放标准等。工资外收入包括：福利性货币收入、非货币性福利、企业年金、补充医疗保险及其他工资外收入等。</w:t>
      </w:r>
    </w:p>
    <w:p w:rsidR="009F4AB2" w:rsidRDefault="00CC056B">
      <w:pPr>
        <w:spacing w:line="520" w:lineRule="exact"/>
        <w:ind w:firstLineChars="200" w:firstLine="480"/>
        <w:jc w:val="left"/>
        <w:rPr>
          <w:sz w:val="24"/>
        </w:rPr>
      </w:pPr>
      <w:r>
        <w:rPr>
          <w:sz w:val="24"/>
        </w:rPr>
        <w:t>5</w:t>
      </w:r>
      <w:r>
        <w:rPr>
          <w:rFonts w:hint="eastAsia"/>
          <w:sz w:val="24"/>
        </w:rPr>
        <w:t>．</w:t>
      </w:r>
      <w:r>
        <w:rPr>
          <w:sz w:val="24"/>
        </w:rPr>
        <w:t>其他有关情况及审计结论。包括但不限于企业中层及子企业负责人收入</w:t>
      </w:r>
      <w:r>
        <w:rPr>
          <w:sz w:val="24"/>
        </w:rPr>
        <w:t>情况、企业劳务派遣用工及被派遣劳动者工资报酬情况；企业实行项目跟投收益、股权激励、限制性股票、岗位分红等中长期激励措施情况，以及中央、国家及省、</w:t>
      </w:r>
      <w:r>
        <w:rPr>
          <w:sz w:val="24"/>
        </w:rPr>
        <w:lastRenderedPageBreak/>
        <w:t>市巡视、审计指出的工资分配存在的具体问题及企业整改落实情况等。</w:t>
      </w:r>
    </w:p>
    <w:p w:rsidR="009F4AB2" w:rsidRDefault="00CC056B">
      <w:pPr>
        <w:autoSpaceDE w:val="0"/>
        <w:autoSpaceDN w:val="0"/>
        <w:adjustRightInd w:val="0"/>
        <w:spacing w:line="520" w:lineRule="exact"/>
        <w:ind w:firstLineChars="200" w:firstLine="482"/>
        <w:rPr>
          <w:b/>
          <w:bCs/>
          <w:sz w:val="24"/>
        </w:rPr>
      </w:pPr>
      <w:r>
        <w:rPr>
          <w:b/>
          <w:bCs/>
          <w:sz w:val="24"/>
        </w:rPr>
        <w:t>三、检查方式</w:t>
      </w:r>
    </w:p>
    <w:p w:rsidR="009F4AB2" w:rsidRDefault="00CC056B">
      <w:pPr>
        <w:spacing w:line="520" w:lineRule="exact"/>
        <w:ind w:firstLineChars="200" w:firstLine="480"/>
        <w:jc w:val="left"/>
        <w:rPr>
          <w:sz w:val="24"/>
        </w:rPr>
      </w:pPr>
      <w:r>
        <w:rPr>
          <w:sz w:val="24"/>
        </w:rPr>
        <w:t>由专业的会计师事务所对入驻被检查企业进行综合检查。</w:t>
      </w:r>
    </w:p>
    <w:p w:rsidR="009F4AB2" w:rsidRDefault="00CC056B">
      <w:pPr>
        <w:autoSpaceDE w:val="0"/>
        <w:autoSpaceDN w:val="0"/>
        <w:adjustRightInd w:val="0"/>
        <w:spacing w:line="520" w:lineRule="exact"/>
        <w:ind w:firstLineChars="200" w:firstLine="482"/>
        <w:rPr>
          <w:b/>
          <w:bCs/>
          <w:sz w:val="24"/>
        </w:rPr>
      </w:pPr>
      <w:r>
        <w:rPr>
          <w:b/>
          <w:bCs/>
          <w:sz w:val="24"/>
        </w:rPr>
        <w:t>四、服务时间</w:t>
      </w:r>
    </w:p>
    <w:p w:rsidR="009F4AB2" w:rsidRDefault="00CC056B">
      <w:pPr>
        <w:spacing w:line="520" w:lineRule="exact"/>
        <w:ind w:firstLineChars="200" w:firstLine="480"/>
        <w:jc w:val="left"/>
        <w:rPr>
          <w:sz w:val="24"/>
        </w:rPr>
      </w:pPr>
      <w:r>
        <w:rPr>
          <w:sz w:val="24"/>
        </w:rPr>
        <w:t>自合同签订之日起</w:t>
      </w:r>
      <w:r w:rsidR="00663A2A">
        <w:rPr>
          <w:rFonts w:hint="eastAsia"/>
          <w:sz w:val="24"/>
        </w:rPr>
        <w:t>5</w:t>
      </w:r>
      <w:r>
        <w:rPr>
          <w:sz w:val="24"/>
        </w:rPr>
        <w:t>0</w:t>
      </w:r>
      <w:r>
        <w:rPr>
          <w:sz w:val="24"/>
        </w:rPr>
        <w:t>天内完成现场入驻检查，并按检查企业出具专项检查报告以及综合检查报告。</w:t>
      </w:r>
    </w:p>
    <w:p w:rsidR="009F4AB2" w:rsidRDefault="00CC056B">
      <w:pPr>
        <w:pStyle w:val="a5"/>
        <w:spacing w:line="520" w:lineRule="exact"/>
        <w:ind w:firstLineChars="200" w:firstLine="482"/>
        <w:rPr>
          <w:rFonts w:eastAsia="宋体"/>
          <w:b/>
          <w:bCs/>
          <w:lang/>
        </w:rPr>
      </w:pPr>
      <w:r>
        <w:rPr>
          <w:rFonts w:eastAsia="宋体"/>
          <w:b/>
          <w:bCs/>
          <w:lang/>
        </w:rPr>
        <w:t>五、验收标准</w:t>
      </w:r>
    </w:p>
    <w:p w:rsidR="009F4AB2" w:rsidRDefault="00CC056B">
      <w:pPr>
        <w:spacing w:line="520" w:lineRule="exact"/>
        <w:ind w:firstLineChars="200" w:firstLine="480"/>
        <w:jc w:val="left"/>
        <w:rPr>
          <w:sz w:val="24"/>
        </w:rPr>
      </w:pPr>
      <w:r>
        <w:rPr>
          <w:sz w:val="24"/>
        </w:rPr>
        <w:t>采购人有关人员对监督检查结果进行验收。</w:t>
      </w:r>
    </w:p>
    <w:p w:rsidR="009F4AB2" w:rsidRDefault="00CC056B">
      <w:pPr>
        <w:pStyle w:val="a5"/>
        <w:spacing w:line="520" w:lineRule="exact"/>
        <w:ind w:firstLineChars="200" w:firstLine="482"/>
        <w:rPr>
          <w:rFonts w:eastAsia="宋体"/>
          <w:b/>
          <w:bCs/>
          <w:lang/>
        </w:rPr>
      </w:pPr>
      <w:r>
        <w:rPr>
          <w:rFonts w:eastAsia="宋体"/>
          <w:b/>
          <w:bCs/>
          <w:lang/>
        </w:rPr>
        <w:t>六、检查工作要求</w:t>
      </w:r>
    </w:p>
    <w:p w:rsidR="009F4AB2" w:rsidRDefault="00CC056B">
      <w:pPr>
        <w:spacing w:line="520" w:lineRule="exact"/>
        <w:ind w:firstLineChars="200" w:firstLine="480"/>
        <w:jc w:val="left"/>
        <w:rPr>
          <w:sz w:val="24"/>
        </w:rPr>
      </w:pPr>
      <w:r>
        <w:rPr>
          <w:sz w:val="24"/>
        </w:rPr>
        <w:t>1</w:t>
      </w:r>
      <w:r>
        <w:rPr>
          <w:rFonts w:hint="eastAsia"/>
          <w:sz w:val="24"/>
        </w:rPr>
        <w:t>．</w:t>
      </w:r>
      <w:r>
        <w:rPr>
          <w:sz w:val="24"/>
        </w:rPr>
        <w:t>供应商须确定服务期内提供服务的人员名单，保证项目负责人和主</w:t>
      </w:r>
      <w:r>
        <w:rPr>
          <w:sz w:val="24"/>
        </w:rPr>
        <w:t>要工作人员的稳定。安排专业知识结构与检查项目相匹配的专业人员参加，注册会计师应占全员比例的</w:t>
      </w:r>
      <w:r>
        <w:rPr>
          <w:sz w:val="24"/>
        </w:rPr>
        <w:t>55%</w:t>
      </w:r>
      <w:r>
        <w:rPr>
          <w:sz w:val="24"/>
        </w:rPr>
        <w:t>以上。</w:t>
      </w:r>
    </w:p>
    <w:p w:rsidR="009F4AB2" w:rsidRDefault="00CC056B">
      <w:pPr>
        <w:spacing w:line="520" w:lineRule="exact"/>
        <w:ind w:firstLineChars="200" w:firstLine="480"/>
        <w:jc w:val="left"/>
        <w:rPr>
          <w:sz w:val="24"/>
        </w:rPr>
      </w:pPr>
      <w:r>
        <w:rPr>
          <w:sz w:val="24"/>
        </w:rPr>
        <w:t>2</w:t>
      </w:r>
      <w:r>
        <w:rPr>
          <w:rFonts w:hint="eastAsia"/>
          <w:sz w:val="24"/>
        </w:rPr>
        <w:t>．</w:t>
      </w:r>
      <w:r>
        <w:rPr>
          <w:sz w:val="24"/>
        </w:rPr>
        <w:t>供应商应制定检查计划，做好审前准备，严格按合同约定的内容、程序和标准完成各项检查工作，遵循《中国注册会计师职业准则》和相关执业规程实施检查，确保检查工作的独立、客观、公正，在约定时间内按要求出具审计报告，全面、真实、客观地反映检查结果。</w:t>
      </w:r>
    </w:p>
    <w:p w:rsidR="009F4AB2" w:rsidRDefault="00CC056B">
      <w:pPr>
        <w:spacing w:line="520" w:lineRule="exact"/>
        <w:ind w:firstLineChars="200" w:firstLine="480"/>
        <w:jc w:val="left"/>
        <w:rPr>
          <w:sz w:val="24"/>
        </w:rPr>
      </w:pPr>
      <w:r>
        <w:rPr>
          <w:sz w:val="24"/>
        </w:rPr>
        <w:t>3</w:t>
      </w:r>
      <w:r>
        <w:rPr>
          <w:rFonts w:hint="eastAsia"/>
          <w:sz w:val="24"/>
        </w:rPr>
        <w:t>．</w:t>
      </w:r>
      <w:r>
        <w:rPr>
          <w:sz w:val="24"/>
        </w:rPr>
        <w:t>供应商在检查过程中应加强与检查单位的沟通，检查中发现的问题、检查结论及有关事项以书面形式征求企业意见。</w:t>
      </w:r>
    </w:p>
    <w:p w:rsidR="009F4AB2" w:rsidRDefault="00CC056B">
      <w:pPr>
        <w:spacing w:line="520" w:lineRule="exact"/>
        <w:ind w:firstLineChars="200" w:firstLine="480"/>
        <w:jc w:val="left"/>
        <w:rPr>
          <w:sz w:val="24"/>
        </w:rPr>
      </w:pPr>
      <w:r>
        <w:rPr>
          <w:sz w:val="24"/>
        </w:rPr>
        <w:t>4</w:t>
      </w:r>
      <w:r>
        <w:rPr>
          <w:rFonts w:hint="eastAsia"/>
          <w:sz w:val="24"/>
        </w:rPr>
        <w:t>．</w:t>
      </w:r>
      <w:r>
        <w:rPr>
          <w:sz w:val="24"/>
        </w:rPr>
        <w:t>供应商应定期向采购人汇报检查工作进展情况、检查遇到的问题及其他有关事项。对于重大问题或者难以把握的专业问题，应及时向采购人汇报。</w:t>
      </w:r>
    </w:p>
    <w:p w:rsidR="009F4AB2" w:rsidRDefault="00CC056B">
      <w:pPr>
        <w:spacing w:line="520" w:lineRule="exact"/>
        <w:ind w:firstLineChars="200" w:firstLine="480"/>
        <w:jc w:val="left"/>
        <w:rPr>
          <w:sz w:val="24"/>
        </w:rPr>
      </w:pPr>
      <w:r>
        <w:rPr>
          <w:sz w:val="24"/>
        </w:rPr>
        <w:t>5</w:t>
      </w:r>
      <w:r>
        <w:rPr>
          <w:rFonts w:hint="eastAsia"/>
          <w:sz w:val="24"/>
        </w:rPr>
        <w:t>．</w:t>
      </w:r>
      <w:r>
        <w:rPr>
          <w:sz w:val="24"/>
        </w:rPr>
        <w:t>供应商须严格遵守保密要求，不得泄露在合同履行过程中从采购人和被检查企业处获得的相关信息及资料。</w:t>
      </w:r>
    </w:p>
    <w:p w:rsidR="009F4AB2" w:rsidRDefault="00CC056B">
      <w:pPr>
        <w:pStyle w:val="a5"/>
        <w:spacing w:line="520" w:lineRule="exact"/>
        <w:ind w:firstLineChars="200" w:firstLine="482"/>
        <w:rPr>
          <w:rFonts w:eastAsia="宋体"/>
          <w:b/>
          <w:bCs/>
          <w:lang/>
        </w:rPr>
      </w:pPr>
      <w:r>
        <w:rPr>
          <w:rFonts w:eastAsia="宋体"/>
          <w:b/>
          <w:bCs/>
          <w:lang/>
        </w:rPr>
        <w:t>七、付款方式</w:t>
      </w:r>
    </w:p>
    <w:p w:rsidR="009F4AB2" w:rsidRDefault="00CC056B">
      <w:pPr>
        <w:spacing w:line="520" w:lineRule="exact"/>
        <w:ind w:firstLineChars="200" w:firstLine="480"/>
        <w:jc w:val="left"/>
        <w:rPr>
          <w:sz w:val="24"/>
        </w:rPr>
      </w:pPr>
      <w:r>
        <w:rPr>
          <w:sz w:val="24"/>
        </w:rPr>
        <w:t>项目验收合格后一次性付款。</w:t>
      </w:r>
    </w:p>
    <w:p w:rsidR="009F4AB2" w:rsidRDefault="009F4AB2">
      <w:pPr>
        <w:jc w:val="left"/>
      </w:pPr>
      <w:bookmarkStart w:id="0" w:name="_GoBack"/>
      <w:bookmarkEnd w:id="0"/>
    </w:p>
    <w:sectPr w:rsidR="009F4AB2" w:rsidSect="009F4A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56B" w:rsidRDefault="00CC056B" w:rsidP="00663A2A">
      <w:r>
        <w:separator/>
      </w:r>
    </w:p>
  </w:endnote>
  <w:endnote w:type="continuationSeparator" w:id="1">
    <w:p w:rsidR="00CC056B" w:rsidRDefault="00CC056B" w:rsidP="00663A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56B" w:rsidRDefault="00CC056B" w:rsidP="00663A2A">
      <w:r>
        <w:separator/>
      </w:r>
    </w:p>
  </w:footnote>
  <w:footnote w:type="continuationSeparator" w:id="1">
    <w:p w:rsidR="00CC056B" w:rsidRDefault="00CC056B" w:rsidP="00663A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FB13BD"/>
    <w:rsid w:val="00663A2A"/>
    <w:rsid w:val="009F4AB2"/>
    <w:rsid w:val="00CC056B"/>
    <w:rsid w:val="70FB13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F4AB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F4AB2"/>
    <w:pPr>
      <w:ind w:firstLineChars="100" w:firstLine="420"/>
    </w:pPr>
    <w:rPr>
      <w:rFonts w:ascii="宋体" w:hAnsi="Calibri"/>
    </w:rPr>
  </w:style>
  <w:style w:type="paragraph" w:styleId="a4">
    <w:name w:val="Body Text"/>
    <w:basedOn w:val="a"/>
    <w:next w:val="a"/>
    <w:qFormat/>
    <w:rsid w:val="009F4AB2"/>
    <w:pPr>
      <w:spacing w:after="120"/>
    </w:pPr>
  </w:style>
  <w:style w:type="paragraph" w:styleId="a5">
    <w:name w:val="Normal Indent"/>
    <w:basedOn w:val="a"/>
    <w:qFormat/>
    <w:rsid w:val="009F4AB2"/>
    <w:pPr>
      <w:adjustRightInd w:val="0"/>
      <w:ind w:firstLine="420"/>
      <w:jc w:val="left"/>
      <w:textAlignment w:val="baseline"/>
    </w:pPr>
    <w:rPr>
      <w:rFonts w:eastAsia="楷体_GB2312"/>
      <w:kern w:val="0"/>
      <w:sz w:val="24"/>
    </w:rPr>
  </w:style>
  <w:style w:type="paragraph" w:styleId="a6">
    <w:name w:val="header"/>
    <w:basedOn w:val="a"/>
    <w:link w:val="Char"/>
    <w:rsid w:val="00663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663A2A"/>
    <w:rPr>
      <w:kern w:val="2"/>
      <w:sz w:val="18"/>
      <w:szCs w:val="18"/>
    </w:rPr>
  </w:style>
  <w:style w:type="paragraph" w:styleId="a7">
    <w:name w:val="footer"/>
    <w:basedOn w:val="a"/>
    <w:link w:val="Char0"/>
    <w:rsid w:val="00663A2A"/>
    <w:pPr>
      <w:tabs>
        <w:tab w:val="center" w:pos="4153"/>
        <w:tab w:val="right" w:pos="8306"/>
      </w:tabs>
      <w:snapToGrid w:val="0"/>
      <w:jc w:val="left"/>
    </w:pPr>
    <w:rPr>
      <w:sz w:val="18"/>
      <w:szCs w:val="18"/>
    </w:rPr>
  </w:style>
  <w:style w:type="character" w:customStyle="1" w:styleId="Char0">
    <w:name w:val="页脚 Char"/>
    <w:basedOn w:val="a1"/>
    <w:link w:val="a7"/>
    <w:rsid w:val="00663A2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dcterms:created xsi:type="dcterms:W3CDTF">2025-01-03T08:38:00Z</dcterms:created>
  <dcterms:modified xsi:type="dcterms:W3CDTF">2025-01-06T03:03:00Z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FE1466EF42C9445189F5E879F312A46C_11</vt:lpwstr>
  </property>
</Properties>
</file>