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宋体" w:hAnsi="宋体" w:eastAsia="宋体" w:cs="宋体"/>
          <w:b/>
          <w:bCs/>
          <w:sz w:val="36"/>
          <w:szCs w:val="36"/>
        </w:rPr>
      </w:pPr>
      <w:r>
        <w:rPr>
          <w:rFonts w:hint="eastAsia" w:ascii="宋体" w:hAnsi="宋体" w:eastAsia="宋体" w:cs="宋体"/>
          <w:b/>
          <w:bCs/>
          <w:sz w:val="36"/>
          <w:szCs w:val="36"/>
          <w:u w:val="none"/>
        </w:rPr>
        <w:t>南通市人力资源服务中心</w:t>
      </w:r>
    </w:p>
    <w:p>
      <w:pPr>
        <w:pStyle w:val="21"/>
        <w:widowControl w:val="0"/>
        <w:tabs>
          <w:tab w:val="left" w:pos="1609"/>
        </w:tabs>
        <w:suppressAutoHyphens/>
        <w:bidi w:val="0"/>
        <w:spacing w:before="12" w:after="0" w:line="300" w:lineRule="auto"/>
        <w:ind w:left="340" w:right="567" w:firstLine="0"/>
        <w:jc w:val="center"/>
        <w:outlineLvl w:val="1"/>
        <w:rPr>
          <w:rFonts w:hint="eastAsia" w:ascii="宋体" w:hAnsi="宋体" w:eastAsia="宋体" w:cs="宋体"/>
          <w:b/>
          <w:bCs/>
          <w:sz w:val="36"/>
          <w:szCs w:val="36"/>
        </w:rPr>
      </w:pPr>
      <w:r>
        <w:rPr>
          <w:rFonts w:hint="eastAsia" w:ascii="宋体" w:hAnsi="宋体" w:eastAsia="宋体" w:cs="宋体"/>
          <w:b/>
          <w:bCs/>
          <w:sz w:val="36"/>
          <w:szCs w:val="36"/>
          <w:lang w:eastAsia="zh-CN"/>
        </w:rPr>
        <w:t>2022</w:t>
      </w:r>
      <w:r>
        <w:rPr>
          <w:rFonts w:hint="eastAsia" w:ascii="宋体" w:hAnsi="宋体" w:eastAsia="宋体" w:cs="宋体"/>
          <w:b/>
          <w:bCs/>
          <w:sz w:val="36"/>
          <w:szCs w:val="36"/>
        </w:rPr>
        <w:t>年度</w:t>
      </w:r>
      <w:r>
        <w:rPr>
          <w:rFonts w:hint="eastAsia" w:ascii="宋体" w:hAnsi="宋体" w:eastAsia="宋体" w:cs="宋体"/>
          <w:b/>
          <w:bCs/>
          <w:sz w:val="36"/>
          <w:szCs w:val="36"/>
          <w:lang w:val="en-US" w:eastAsia="zh-CN"/>
        </w:rPr>
        <w:t>单位</w:t>
      </w:r>
      <w:r>
        <w:rPr>
          <w:rFonts w:ascii="宋体" w:hAnsi="宋体" w:eastAsia="宋体" w:cs="宋体"/>
          <w:b/>
          <w:sz w:val="36"/>
        </w:rPr>
        <w:t>决算表</w:t>
      </w:r>
    </w:p>
    <w:tbl>
      <w:tblPr>
        <w:tblStyle w:val="12"/>
        <w:tblW w:w="10447" w:type="dxa"/>
        <w:jc w:val="center"/>
        <w:tblLayout w:type="fixed"/>
        <w:tblCellMar>
          <w:top w:w="0" w:type="dxa"/>
          <w:left w:w="108" w:type="dxa"/>
          <w:bottom w:w="0" w:type="dxa"/>
          <w:right w:w="108" w:type="dxa"/>
        </w:tblCellMar>
      </w:tblPr>
      <w:tblGrid>
        <w:gridCol w:w="3468"/>
        <w:gridCol w:w="1777"/>
        <w:gridCol w:w="2035"/>
        <w:gridCol w:w="1341"/>
        <w:gridCol w:w="1826"/>
      </w:tblGrid>
      <w:tr>
        <w:tblPrEx>
          <w:tblCellMar>
            <w:top w:w="0" w:type="dxa"/>
            <w:left w:w="108" w:type="dxa"/>
            <w:bottom w:w="0" w:type="dxa"/>
            <w:right w:w="108" w:type="dxa"/>
          </w:tblCellMar>
        </w:tblPrEx>
        <w:trPr>
          <w:trHeight w:val="544" w:hRule="atLeast"/>
          <w:jc w:val="center"/>
        </w:trPr>
        <w:tc>
          <w:tcPr>
            <w:tcW w:w="10447" w:type="dxa"/>
            <w:gridSpan w:val="5"/>
          </w:tcPr>
          <w:p>
            <w:pPr>
              <w:pageBreakBefore/>
              <w:widowControl w:val="0"/>
              <w:ind w:left="0" w:right="0" w:firstLine="0"/>
              <w:jc w:val="center"/>
              <w:textAlignment w:val="auto"/>
              <w:rPr>
                <w:rFonts w:hint="eastAsia" w:ascii="仿宋" w:hAnsi="仿宋" w:eastAsia="仿宋" w:cs="仿宋"/>
                <w:b/>
                <w:bCs/>
                <w:color w:val="000000"/>
              </w:rPr>
            </w:pPr>
            <w:r>
              <w:rPr>
                <w:rFonts w:hint="eastAsia" w:ascii="宋体" w:hAnsi="宋体" w:eastAsia="宋体" w:cs="宋体"/>
                <w:b/>
                <w:bCs/>
                <w:color w:val="000000"/>
                <w:sz w:val="36"/>
                <w:szCs w:val="36"/>
                <w:lang w:eastAsia="ar-SA"/>
              </w:rPr>
              <w:t>收入支出决算总表</w:t>
            </w:r>
          </w:p>
        </w:tc>
      </w:tr>
      <w:tr>
        <w:tblPrEx>
          <w:tblCellMar>
            <w:top w:w="0" w:type="dxa"/>
            <w:left w:w="108" w:type="dxa"/>
            <w:bottom w:w="0" w:type="dxa"/>
            <w:right w:w="108" w:type="dxa"/>
          </w:tblCellMar>
        </w:tblPrEx>
        <w:trPr>
          <w:trHeight w:val="348" w:hRule="atLeast"/>
          <w:jc w:val="center"/>
        </w:trPr>
        <w:tc>
          <w:tcPr>
            <w:tcW w:w="3468" w:type="dxa"/>
          </w:tcPr>
          <w:p>
            <w:pPr>
              <w:widowControl w:val="0"/>
              <w:ind w:left="0" w:right="0" w:firstLine="0"/>
              <w:jc w:val="left"/>
              <w:textAlignment w:val="auto"/>
              <w:rPr>
                <w:rFonts w:hint="eastAsia" w:ascii="仿宋" w:hAnsi="仿宋" w:eastAsia="仿宋" w:cs="仿宋"/>
                <w:color w:val="000000"/>
                <w:sz w:val="20"/>
              </w:rPr>
            </w:pPr>
          </w:p>
        </w:tc>
        <w:tc>
          <w:tcPr>
            <w:tcW w:w="1777" w:type="dxa"/>
          </w:tcPr>
          <w:p>
            <w:pPr>
              <w:widowControl w:val="0"/>
              <w:ind w:left="0" w:right="0" w:firstLine="0"/>
              <w:jc w:val="left"/>
              <w:textAlignment w:val="auto"/>
              <w:rPr>
                <w:rFonts w:hint="eastAsia" w:ascii="仿宋" w:hAnsi="仿宋" w:eastAsia="仿宋" w:cs="仿宋"/>
                <w:color w:val="000000"/>
                <w:sz w:val="20"/>
              </w:rPr>
            </w:pPr>
          </w:p>
        </w:tc>
        <w:tc>
          <w:tcPr>
            <w:tcW w:w="5202" w:type="dxa"/>
            <w:gridSpan w:val="3"/>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33" w:hRule="atLeast"/>
          <w:jc w:val="center"/>
        </w:trPr>
        <w:tc>
          <w:tcPr>
            <w:tcW w:w="7280"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color w:val="000000"/>
                <w:sz w:val="22"/>
                <w:szCs w:val="22"/>
                <w:lang w:eastAsia="ar-SA"/>
              </w:rPr>
              <w:t>南通市人力资源服务中心</w:t>
            </w:r>
          </w:p>
        </w:tc>
        <w:tc>
          <w:tcPr>
            <w:tcW w:w="3167"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rPr>
              <w:t>金额单位：万元</w:t>
            </w:r>
          </w:p>
        </w:tc>
      </w:tr>
      <w:tr>
        <w:tblPrEx>
          <w:tblCellMar>
            <w:top w:w="0" w:type="dxa"/>
            <w:left w:w="108" w:type="dxa"/>
            <w:bottom w:w="0" w:type="dxa"/>
            <w:right w:w="108" w:type="dxa"/>
          </w:tblCellMar>
        </w:tblPrEx>
        <w:trPr>
          <w:trHeight w:val="450" w:hRule="atLeast"/>
          <w:jc w:val="center"/>
        </w:trPr>
        <w:tc>
          <w:tcPr>
            <w:tcW w:w="5245"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收入</w:t>
            </w:r>
          </w:p>
        </w:tc>
        <w:tc>
          <w:tcPr>
            <w:tcW w:w="520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支出</w:t>
            </w:r>
          </w:p>
        </w:tc>
      </w:tr>
      <w:tr>
        <w:tblPrEx>
          <w:tblCellMar>
            <w:top w:w="0" w:type="dxa"/>
            <w:left w:w="108" w:type="dxa"/>
            <w:bottom w:w="0" w:type="dxa"/>
            <w:right w:w="108" w:type="dxa"/>
          </w:tblCellMar>
        </w:tblPrEx>
        <w:trPr>
          <w:trHeight w:val="39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ascii="仿宋" w:hAnsi="仿宋" w:eastAsia="仿宋" w:cs="仿宋"/>
                <w:color w:val="000000"/>
                <w:sz w:val="22"/>
              </w:rPr>
              <w:t>项目</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决算数</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按功能分类</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决算数</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一、一般公共预算财政拨款收入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1,141.64</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二、政府性基金预算财政拨款收入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三、国有资本经营预算财政拨款收入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四、上级补助收入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六、经营收入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七、附属单位上缴收入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八、其他收入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920.05</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九、卫生健康支出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十、节能环保支出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十一、城乡社区支出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十二、农林水支出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十三、交通运输支出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十四、资源勘探工业信息等支出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十五、商业服务业等支出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十六、金融支出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十七、援助其他地区支出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十八、自然资源海洋气象等支出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十九、住房保障支出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221.59</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二十、粮油物资储备支出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二十一、国有资本经营预算支出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二十二、灾害防治及应急管理支出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二十三、其他支出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二十四、债务还本支出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二十五、债务付息支出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二十六、抗疫特别国债安排的支出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454" w:hRule="exac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1,141.64</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本年支出合计</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1,141.64</w:t>
            </w:r>
          </w:p>
        </w:tc>
      </w:tr>
      <w:tr>
        <w:tblPrEx>
          <w:tblCellMar>
            <w:top w:w="0" w:type="dxa"/>
            <w:left w:w="108" w:type="dxa"/>
            <w:bottom w:w="0" w:type="dxa"/>
            <w:right w:w="108" w:type="dxa"/>
          </w:tblCellMar>
        </w:tblPrEx>
        <w:trPr>
          <w:trHeight w:val="413"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使用非财政拨款结余</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结余分配</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413"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年初结转和结余</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年末结转和结余</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383" w:hRule="atLeast"/>
          <w:jc w:val="center"/>
        </w:trPr>
        <w:tc>
          <w:tcPr>
            <w:tcW w:w="3468"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1777"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3376" w:type="dxa"/>
            <w:gridSpan w:val="2"/>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1826"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r>
      <w:tr>
        <w:tblPrEx>
          <w:tblCellMar>
            <w:top w:w="0" w:type="dxa"/>
            <w:left w:w="108" w:type="dxa"/>
            <w:bottom w:w="0" w:type="dxa"/>
            <w:right w:w="108" w:type="dxa"/>
          </w:tblCellMar>
        </w:tblPrEx>
        <w:trPr>
          <w:cantSplit/>
          <w:trHeight w:val="454" w:hRule="exac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eastAsia="ar-SA"/>
              </w:rPr>
              <w:t>总计</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1,141.64</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eastAsia="ar-SA"/>
              </w:rPr>
              <w:t>总计</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1,141.64</w:t>
            </w:r>
          </w:p>
        </w:tc>
      </w:tr>
    </w:tbl>
    <w:p>
      <w:pPr>
        <w:widowControl w:val="0"/>
        <w:suppressAutoHyphens/>
        <w:bidi w:val="0"/>
        <w:spacing w:before="66" w:after="0"/>
        <w:ind w:left="0" w:leftChars="0" w:right="0" w:rightChars="0" w:firstLine="0" w:firstLineChars="0"/>
        <w:jc w:val="both"/>
        <w:rPr>
          <w:rFonts w:hint="eastAsia" w:ascii="仿宋" w:hAnsi="仿宋" w:eastAsia="仿宋" w:cs="仿宋"/>
          <w:b w:val="0"/>
          <w:bCs w:val="0"/>
          <w:color w:val="000000"/>
          <w:sz w:val="22"/>
          <w:szCs w:val="22"/>
          <w:lang w:val="en-US" w:eastAsia="zh-CN"/>
        </w:rPr>
      </w:pPr>
      <w:r>
        <w:rPr>
          <w:rFonts w:hint="eastAsia" w:ascii="仿宋" w:hAnsi="仿宋" w:eastAsia="仿宋" w:cs="仿宋"/>
          <w:b w:val="0"/>
          <w:bCs w:val="0"/>
          <w:color w:val="000000"/>
          <w:sz w:val="22"/>
          <w:szCs w:val="22"/>
          <w:lang w:val="en-US" w:eastAsia="zh-CN"/>
        </w:rPr>
        <w:t>注：本表反映本年度的总收支和年末结转结余情况。本表金额单位转换时可能存在尾数误差。</w:t>
      </w:r>
    </w:p>
    <w:p>
      <w:pPr>
        <w:widowControl w:val="0"/>
        <w:suppressAutoHyphens/>
        <w:bidi w:val="0"/>
        <w:spacing w:before="66" w:after="0"/>
        <w:ind w:right="0"/>
        <w:jc w:val="both"/>
        <w:rPr>
          <w:rFonts w:hint="eastAsia" w:ascii="仿宋" w:hAnsi="仿宋" w:eastAsia="仿宋" w:cs="仿宋"/>
          <w:b w:val="0"/>
          <w:bCs w:val="0"/>
          <w:color w:val="000000"/>
          <w:sz w:val="22"/>
          <w:szCs w:val="22"/>
        </w:rPr>
        <w:sectPr>
          <w:headerReference r:id="rId4" w:type="default"/>
          <w:footerReference r:id="rId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660" w:type="dxa"/>
        <w:jc w:val="center"/>
        <w:tblLayout w:type="fixed"/>
        <w:tblCellMar>
          <w:top w:w="0" w:type="dxa"/>
          <w:left w:w="108" w:type="dxa"/>
          <w:bottom w:w="0" w:type="dxa"/>
          <w:right w:w="108" w:type="dxa"/>
        </w:tblCellMar>
      </w:tblPr>
      <w:tblGrid>
        <w:gridCol w:w="1201"/>
        <w:gridCol w:w="3156"/>
        <w:gridCol w:w="1716"/>
        <w:gridCol w:w="1728"/>
        <w:gridCol w:w="1686"/>
        <w:gridCol w:w="1503"/>
        <w:gridCol w:w="1704"/>
        <w:gridCol w:w="1263"/>
        <w:gridCol w:w="1375"/>
        <w:gridCol w:w="1328"/>
      </w:tblGrid>
      <w:tr>
        <w:tblPrEx>
          <w:tblCellMar>
            <w:top w:w="0" w:type="dxa"/>
            <w:left w:w="108" w:type="dxa"/>
            <w:bottom w:w="0" w:type="dxa"/>
            <w:right w:w="108" w:type="dxa"/>
          </w:tblCellMar>
        </w:tblPrEx>
        <w:trPr>
          <w:trHeight w:val="403" w:hRule="atLeast"/>
          <w:jc w:val="center"/>
        </w:trPr>
        <w:tc>
          <w:tcPr>
            <w:tcW w:w="16660" w:type="dxa"/>
            <w:gridSpan w:val="10"/>
            <w:vAlign w:val="center"/>
          </w:tcPr>
          <w:p>
            <w:pPr>
              <w:pStyle w:val="5"/>
              <w:widowControl w:val="0"/>
              <w:rPr>
                <w:rFonts w:hint="eastAsia" w:ascii="仿宋" w:hAnsi="仿宋" w:eastAsia="仿宋" w:cs="仿宋"/>
                <w:b/>
                <w:bCs/>
                <w:sz w:val="44"/>
                <w:szCs w:val="44"/>
                <w:lang w:val="en-US" w:eastAsia="zh-CN"/>
              </w:rPr>
            </w:pPr>
            <w:r>
              <w:rPr>
                <w:rFonts w:hint="eastAsia" w:ascii="宋体" w:hAnsi="宋体" w:eastAsia="宋体" w:cs="宋体"/>
                <w:b/>
                <w:bCs/>
                <w:color w:val="000000"/>
                <w:kern w:val="0"/>
                <w:sz w:val="36"/>
                <w:szCs w:val="36"/>
                <w:lang w:val="zh-CN" w:eastAsia="ar-SA" w:bidi="zh-CN"/>
              </w:rPr>
              <w:t>收入决算表</w:t>
            </w:r>
          </w:p>
        </w:tc>
      </w:tr>
      <w:tr>
        <w:tblPrEx>
          <w:tblCellMar>
            <w:top w:w="0" w:type="dxa"/>
            <w:left w:w="108" w:type="dxa"/>
            <w:bottom w:w="0" w:type="dxa"/>
            <w:right w:w="108" w:type="dxa"/>
          </w:tblCellMar>
        </w:tblPrEx>
        <w:trPr>
          <w:trHeight w:val="247" w:hRule="atLeast"/>
          <w:jc w:val="center"/>
        </w:trPr>
        <w:tc>
          <w:tcPr>
            <w:tcW w:w="4357" w:type="dxa"/>
            <w:gridSpan w:val="2"/>
            <w:vAlign w:val="center"/>
          </w:tcPr>
          <w:p>
            <w:pPr>
              <w:pStyle w:val="22"/>
              <w:widowControl w:val="0"/>
              <w:jc w:val="center"/>
              <w:rPr>
                <w:rFonts w:hint="eastAsia" w:ascii="仿宋" w:hAnsi="仿宋" w:eastAsia="仿宋" w:cs="仿宋"/>
              </w:rPr>
            </w:pPr>
          </w:p>
        </w:tc>
        <w:tc>
          <w:tcPr>
            <w:tcW w:w="1716" w:type="dxa"/>
            <w:vAlign w:val="center"/>
          </w:tcPr>
          <w:p>
            <w:pPr>
              <w:pStyle w:val="22"/>
              <w:widowControl w:val="0"/>
              <w:jc w:val="center"/>
              <w:rPr>
                <w:rFonts w:hint="eastAsia" w:ascii="仿宋" w:hAnsi="仿宋" w:eastAsia="仿宋" w:cs="仿宋"/>
              </w:rPr>
            </w:pPr>
          </w:p>
        </w:tc>
        <w:tc>
          <w:tcPr>
            <w:tcW w:w="1728" w:type="dxa"/>
            <w:vAlign w:val="center"/>
          </w:tcPr>
          <w:p>
            <w:pPr>
              <w:pStyle w:val="22"/>
              <w:widowControl w:val="0"/>
              <w:jc w:val="center"/>
              <w:rPr>
                <w:rFonts w:hint="eastAsia" w:ascii="仿宋" w:hAnsi="仿宋" w:eastAsia="仿宋" w:cs="仿宋"/>
              </w:rPr>
            </w:pPr>
          </w:p>
        </w:tc>
        <w:tc>
          <w:tcPr>
            <w:tcW w:w="1686" w:type="dxa"/>
            <w:vAlign w:val="center"/>
          </w:tcPr>
          <w:p>
            <w:pPr>
              <w:pStyle w:val="22"/>
              <w:widowControl w:val="0"/>
              <w:jc w:val="center"/>
              <w:rPr>
                <w:rFonts w:hint="eastAsia" w:ascii="仿宋" w:hAnsi="仿宋" w:eastAsia="仿宋" w:cs="仿宋"/>
              </w:rPr>
            </w:pPr>
          </w:p>
        </w:tc>
        <w:tc>
          <w:tcPr>
            <w:tcW w:w="3207" w:type="dxa"/>
            <w:gridSpan w:val="2"/>
            <w:vAlign w:val="center"/>
          </w:tcPr>
          <w:p>
            <w:pPr>
              <w:pStyle w:val="22"/>
              <w:widowControl w:val="0"/>
              <w:jc w:val="center"/>
              <w:rPr>
                <w:rFonts w:hint="eastAsia" w:ascii="仿宋" w:hAnsi="仿宋" w:eastAsia="仿宋" w:cs="仿宋"/>
              </w:rPr>
            </w:pPr>
          </w:p>
        </w:tc>
        <w:tc>
          <w:tcPr>
            <w:tcW w:w="1263" w:type="dxa"/>
            <w:vAlign w:val="center"/>
          </w:tcPr>
          <w:p>
            <w:pPr>
              <w:pStyle w:val="22"/>
              <w:widowControl w:val="0"/>
              <w:jc w:val="center"/>
              <w:rPr>
                <w:rFonts w:hint="eastAsia" w:ascii="仿宋" w:hAnsi="仿宋" w:eastAsia="仿宋" w:cs="仿宋"/>
              </w:rPr>
            </w:pPr>
          </w:p>
        </w:tc>
        <w:tc>
          <w:tcPr>
            <w:tcW w:w="2703" w:type="dxa"/>
            <w:gridSpan w:val="2"/>
            <w:vAlign w:val="center"/>
          </w:tcPr>
          <w:p>
            <w:pPr>
              <w:pStyle w:val="22"/>
              <w:widowControl w:val="0"/>
              <w:jc w:val="right"/>
              <w:rPr>
                <w:rFonts w:hint="eastAsia" w:ascii="仿宋" w:hAnsi="仿宋" w:eastAsia="仿宋" w:cs="仿宋"/>
              </w:rPr>
            </w:pPr>
            <w:r>
              <w:rPr>
                <w:rFonts w:hint="eastAsia" w:ascii="仿宋" w:hAnsi="仿宋" w:eastAsia="仿宋" w:cs="仿宋"/>
              </w:rPr>
              <w:t>公开02表</w:t>
            </w:r>
          </w:p>
        </w:tc>
      </w:tr>
      <w:tr>
        <w:tblPrEx>
          <w:tblCellMar>
            <w:top w:w="0" w:type="dxa"/>
            <w:left w:w="108" w:type="dxa"/>
            <w:bottom w:w="0" w:type="dxa"/>
            <w:right w:w="108" w:type="dxa"/>
          </w:tblCellMar>
        </w:tblPrEx>
        <w:trPr>
          <w:trHeight w:val="247" w:hRule="atLeast"/>
          <w:jc w:val="center"/>
        </w:trPr>
        <w:tc>
          <w:tcPr>
            <w:tcW w:w="13957" w:type="dxa"/>
            <w:gridSpan w:val="8"/>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南通市人力资源服务中心</w:t>
            </w:r>
          </w:p>
        </w:tc>
        <w:tc>
          <w:tcPr>
            <w:tcW w:w="2703" w:type="dxa"/>
            <w:gridSpan w:val="2"/>
            <w:vAlign w:val="center"/>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0" w:type="dxa"/>
            <w:left w:w="108" w:type="dxa"/>
            <w:bottom w:w="0" w:type="dxa"/>
            <w:right w:w="108" w:type="dxa"/>
          </w:tblCellMar>
        </w:tblPrEx>
        <w:trPr>
          <w:cantSplit/>
          <w:trHeight w:val="255" w:hRule="atLeast"/>
          <w:jc w:val="center"/>
        </w:trPr>
        <w:tc>
          <w:tcPr>
            <w:tcW w:w="4357"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w:t>
            </w:r>
          </w:p>
        </w:tc>
        <w:tc>
          <w:tcPr>
            <w:tcW w:w="1716"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本年收入合计</w:t>
            </w:r>
          </w:p>
        </w:tc>
        <w:tc>
          <w:tcPr>
            <w:tcW w:w="1728"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财政拨款收入</w:t>
            </w:r>
          </w:p>
        </w:tc>
        <w:tc>
          <w:tcPr>
            <w:tcW w:w="1686"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上级补助收入</w:t>
            </w:r>
          </w:p>
        </w:tc>
        <w:tc>
          <w:tcPr>
            <w:tcW w:w="1503"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财政专户管理教育收费</w:t>
            </w:r>
          </w:p>
        </w:tc>
        <w:tc>
          <w:tcPr>
            <w:tcW w:w="1704"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事业收入（不含专户管理教育收费）</w:t>
            </w:r>
          </w:p>
        </w:tc>
        <w:tc>
          <w:tcPr>
            <w:tcW w:w="1263"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经营收入</w:t>
            </w:r>
          </w:p>
        </w:tc>
        <w:tc>
          <w:tcPr>
            <w:tcW w:w="1375"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附属单位上缴收入</w:t>
            </w:r>
          </w:p>
        </w:tc>
        <w:tc>
          <w:tcPr>
            <w:tcW w:w="1328"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其他收入</w:t>
            </w:r>
          </w:p>
        </w:tc>
      </w:tr>
      <w:tr>
        <w:tblPrEx>
          <w:tblCellMar>
            <w:top w:w="0" w:type="dxa"/>
            <w:left w:w="108" w:type="dxa"/>
            <w:bottom w:w="0" w:type="dxa"/>
            <w:right w:w="108" w:type="dxa"/>
          </w:tblCellMar>
        </w:tblPrEx>
        <w:trPr>
          <w:cantSplit/>
          <w:trHeight w:val="502" w:hRule="atLeast"/>
          <w:jc w:val="center"/>
        </w:trPr>
        <w:tc>
          <w:tcPr>
            <w:tcW w:w="120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156"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1716"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728"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686"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503"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704"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263"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375"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328"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0" w:type="dxa"/>
            <w:left w:w="108" w:type="dxa"/>
            <w:bottom w:w="0" w:type="dxa"/>
            <w:right w:w="108" w:type="dxa"/>
          </w:tblCellMar>
        </w:tblPrEx>
        <w:trPr>
          <w:cantSplit/>
          <w:trHeight w:val="267" w:hRule="exact"/>
          <w:jc w:val="center"/>
        </w:trPr>
        <w:tc>
          <w:tcPr>
            <w:tcW w:w="4357"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ascii="仿宋" w:hAnsi="仿宋" w:eastAsia="仿宋" w:cs="仿宋"/>
                <w:sz w:val="22"/>
              </w:rPr>
              <w:t>合计</w:t>
            </w:r>
          </w:p>
        </w:tc>
        <w:tc>
          <w:tcPr>
            <w:tcW w:w="1716"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1,141.64</w:t>
            </w:r>
          </w:p>
        </w:tc>
        <w:tc>
          <w:tcPr>
            <w:tcW w:w="1728"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1,141.64</w:t>
            </w:r>
          </w:p>
        </w:tc>
        <w:tc>
          <w:tcPr>
            <w:tcW w:w="1686"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p>
        </w:tc>
        <w:tc>
          <w:tcPr>
            <w:tcW w:w="1503"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p>
        </w:tc>
        <w:tc>
          <w:tcPr>
            <w:tcW w:w="1704"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p>
        </w:tc>
        <w:tc>
          <w:tcPr>
            <w:tcW w:w="1263"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p>
        </w:tc>
        <w:tc>
          <w:tcPr>
            <w:tcW w:w="1375"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p>
        </w:tc>
        <w:tc>
          <w:tcPr>
            <w:tcW w:w="1328"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社会保障和就业支出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920.05</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920.05</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人力资源和社会保障管理事务</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878.75</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878.75</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2080150</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事业运行</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10.48</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10.48</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2080199</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其他人力资源和社会保障管理事务支出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868.27</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868.27</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20899</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其他社会保障和就业支出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41.30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41.30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2089999</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其他社会保障和就业支出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41.30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41.30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住房保障支出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221.59</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221.59</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住房改革支出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221.59</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221.59</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2210201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住房公积金</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98.56</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98.56</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2210202</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提租补贴</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123.03</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123.03</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bl>
    <w:p>
      <w:pPr>
        <w:widowControl w:val="0"/>
        <w:suppressAutoHyphens/>
        <w:bidi w:val="0"/>
        <w:spacing w:before="66" w:after="0"/>
        <w:ind w:left="0" w:leftChars="0" w:right="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color w:val="000000"/>
          <w:sz w:val="22"/>
          <w:szCs w:val="22"/>
        </w:rPr>
        <w:t>注：</w:t>
      </w:r>
      <w:r>
        <w:rPr>
          <w:rFonts w:hint="eastAsia" w:ascii="仿宋" w:hAnsi="仿宋" w:eastAsia="仿宋" w:cs="仿宋"/>
          <w:b w:val="0"/>
          <w:bCs w:val="0"/>
          <w:sz w:val="22"/>
          <w:szCs w:val="22"/>
        </w:rPr>
        <w:t>本表反映本年度取得的各项收入情况。本表金额单位转换时可能存在尾数误差。</w:t>
      </w:r>
    </w:p>
    <w:p>
      <w:pPr>
        <w:widowControl w:val="0"/>
        <w:suppressAutoHyphens/>
        <w:bidi w:val="0"/>
        <w:spacing w:before="66" w:after="0"/>
        <w:ind w:left="57" w:right="0" w:firstLine="220" w:firstLineChars="100"/>
        <w:jc w:val="both"/>
        <w:rPr>
          <w:rFonts w:hint="eastAsia" w:ascii="仿宋" w:hAnsi="仿宋" w:eastAsia="仿宋" w:cs="仿宋"/>
          <w:b w:val="0"/>
          <w:bCs w:val="0"/>
          <w:sz w:val="22"/>
          <w:szCs w:val="22"/>
        </w:rPr>
        <w:sectPr>
          <w:footerReference r:id="rId6" w:type="default"/>
          <w:pgSz w:w="16838" w:h="11906" w:orient="landscape"/>
          <w:pgMar w:top="720" w:right="113" w:bottom="720" w:left="113"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689" w:type="dxa"/>
        <w:tblInd w:w="63" w:type="dxa"/>
        <w:tblLayout w:type="fixed"/>
        <w:tblCellMar>
          <w:top w:w="55" w:type="dxa"/>
          <w:left w:w="55" w:type="dxa"/>
          <w:bottom w:w="55" w:type="dxa"/>
          <w:right w:w="55" w:type="dxa"/>
        </w:tblCellMar>
      </w:tblPr>
      <w:tblGrid>
        <w:gridCol w:w="1188"/>
        <w:gridCol w:w="3927"/>
        <w:gridCol w:w="2164"/>
        <w:gridCol w:w="1897"/>
        <w:gridCol w:w="1739"/>
        <w:gridCol w:w="1715"/>
        <w:gridCol w:w="1633"/>
        <w:gridCol w:w="1426"/>
      </w:tblGrid>
      <w:tr>
        <w:tblPrEx>
          <w:tblCellMar>
            <w:top w:w="55" w:type="dxa"/>
            <w:left w:w="55" w:type="dxa"/>
            <w:bottom w:w="55" w:type="dxa"/>
            <w:right w:w="55" w:type="dxa"/>
          </w:tblCellMar>
        </w:tblPrEx>
        <w:trPr>
          <w:trHeight w:val="532" w:hRule="atLeast"/>
        </w:trPr>
        <w:tc>
          <w:tcPr>
            <w:tcW w:w="15689" w:type="dxa"/>
            <w:gridSpan w:val="8"/>
            <w:vAlign w:val="center"/>
          </w:tcPr>
          <w:p>
            <w:pPr>
              <w:pStyle w:val="5"/>
              <w:widowControl w:val="0"/>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支出决算表</w:t>
            </w:r>
          </w:p>
        </w:tc>
      </w:tr>
      <w:tr>
        <w:tblPrEx>
          <w:tblCellMar>
            <w:top w:w="55" w:type="dxa"/>
            <w:left w:w="55" w:type="dxa"/>
            <w:bottom w:w="55" w:type="dxa"/>
            <w:right w:w="55" w:type="dxa"/>
          </w:tblCellMar>
        </w:tblPrEx>
        <w:trPr>
          <w:trHeight w:val="227" w:hRule="atLeast"/>
        </w:trPr>
        <w:tc>
          <w:tcPr>
            <w:tcW w:w="5115" w:type="dxa"/>
            <w:gridSpan w:val="2"/>
            <w:vAlign w:val="center"/>
          </w:tcPr>
          <w:p>
            <w:pPr>
              <w:pStyle w:val="22"/>
              <w:widowControl w:val="0"/>
              <w:jc w:val="center"/>
              <w:rPr>
                <w:rFonts w:hint="eastAsia" w:ascii="仿宋" w:hAnsi="仿宋" w:eastAsia="仿宋" w:cs="仿宋"/>
              </w:rPr>
            </w:pPr>
          </w:p>
        </w:tc>
        <w:tc>
          <w:tcPr>
            <w:tcW w:w="2164" w:type="dxa"/>
            <w:vAlign w:val="center"/>
          </w:tcPr>
          <w:p>
            <w:pPr>
              <w:pStyle w:val="22"/>
              <w:widowControl w:val="0"/>
              <w:spacing w:before="0" w:after="0"/>
              <w:ind w:firstLine="0"/>
              <w:jc w:val="center"/>
              <w:rPr>
                <w:rFonts w:hint="eastAsia" w:ascii="仿宋" w:hAnsi="仿宋" w:eastAsia="仿宋" w:cs="仿宋"/>
                <w:sz w:val="20"/>
              </w:rPr>
            </w:pPr>
          </w:p>
        </w:tc>
        <w:tc>
          <w:tcPr>
            <w:tcW w:w="1897" w:type="dxa"/>
            <w:vAlign w:val="center"/>
          </w:tcPr>
          <w:p>
            <w:pPr>
              <w:pStyle w:val="22"/>
              <w:widowControl w:val="0"/>
              <w:spacing w:before="0" w:after="0"/>
              <w:ind w:firstLine="0"/>
              <w:jc w:val="center"/>
              <w:rPr>
                <w:rFonts w:hint="eastAsia" w:ascii="仿宋" w:hAnsi="仿宋" w:eastAsia="仿宋" w:cs="仿宋"/>
                <w:sz w:val="20"/>
              </w:rPr>
            </w:pPr>
          </w:p>
        </w:tc>
        <w:tc>
          <w:tcPr>
            <w:tcW w:w="1739" w:type="dxa"/>
            <w:vAlign w:val="center"/>
          </w:tcPr>
          <w:p>
            <w:pPr>
              <w:pStyle w:val="22"/>
              <w:widowControl w:val="0"/>
              <w:spacing w:before="0" w:after="0"/>
              <w:ind w:firstLine="0"/>
              <w:jc w:val="center"/>
              <w:rPr>
                <w:rFonts w:hint="eastAsia" w:ascii="仿宋" w:hAnsi="仿宋" w:eastAsia="仿宋" w:cs="仿宋"/>
                <w:sz w:val="20"/>
              </w:rPr>
            </w:pPr>
          </w:p>
        </w:tc>
        <w:tc>
          <w:tcPr>
            <w:tcW w:w="1715" w:type="dxa"/>
            <w:vAlign w:val="center"/>
          </w:tcPr>
          <w:p>
            <w:pPr>
              <w:pStyle w:val="22"/>
              <w:widowControl w:val="0"/>
              <w:spacing w:before="0" w:after="0"/>
              <w:ind w:firstLine="0"/>
              <w:jc w:val="center"/>
              <w:rPr>
                <w:rFonts w:hint="eastAsia" w:ascii="仿宋" w:hAnsi="仿宋" w:eastAsia="仿宋" w:cs="仿宋"/>
                <w:sz w:val="20"/>
              </w:rPr>
            </w:pPr>
          </w:p>
        </w:tc>
        <w:tc>
          <w:tcPr>
            <w:tcW w:w="3059" w:type="dxa"/>
            <w:gridSpan w:val="2"/>
            <w:vAlign w:val="center"/>
          </w:tcPr>
          <w:p>
            <w:pPr>
              <w:pStyle w:val="22"/>
              <w:widowControl w:val="0"/>
              <w:spacing w:before="0" w:after="0"/>
              <w:ind w:firstLine="0"/>
              <w:jc w:val="right"/>
              <w:rPr>
                <w:rFonts w:hint="eastAsia" w:ascii="仿宋" w:hAnsi="仿宋" w:eastAsia="仿宋" w:cs="仿宋"/>
                <w:sz w:val="22"/>
                <w:szCs w:val="22"/>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90" w:hRule="atLeast"/>
        </w:trPr>
        <w:tc>
          <w:tcPr>
            <w:tcW w:w="12630" w:type="dxa"/>
            <w:gridSpan w:val="6"/>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南通市人力资源服务中心</w:t>
            </w:r>
          </w:p>
        </w:tc>
        <w:tc>
          <w:tcPr>
            <w:tcW w:w="3059" w:type="dxa"/>
            <w:gridSpan w:val="2"/>
            <w:vAlign w:val="center"/>
          </w:tcPr>
          <w:p>
            <w:pPr>
              <w:pStyle w:val="22"/>
              <w:widowControl w:val="0"/>
              <w:spacing w:before="0" w:after="0"/>
              <w:ind w:firstLine="0"/>
              <w:jc w:val="right"/>
              <w:rPr>
                <w:rFonts w:hint="eastAsia" w:ascii="仿宋" w:hAnsi="仿宋" w:eastAsia="仿宋" w:cs="仿宋"/>
                <w:sz w:val="22"/>
                <w:szCs w:val="22"/>
              </w:rPr>
            </w:pPr>
            <w:r>
              <w:rPr>
                <w:rFonts w:hint="eastAsia" w:ascii="仿宋" w:hAnsi="仿宋" w:eastAsia="仿宋" w:cs="仿宋"/>
                <w:sz w:val="22"/>
                <w:szCs w:val="22"/>
              </w:rPr>
              <w:t>金额单位：万元</w:t>
            </w:r>
          </w:p>
        </w:tc>
      </w:tr>
      <w:tr>
        <w:tblPrEx>
          <w:tblCellMar>
            <w:top w:w="55" w:type="dxa"/>
            <w:left w:w="55" w:type="dxa"/>
            <w:bottom w:w="55" w:type="dxa"/>
            <w:right w:w="55" w:type="dxa"/>
          </w:tblCellMar>
        </w:tblPrEx>
        <w:trPr>
          <w:trHeight w:val="90" w:hRule="atLeast"/>
        </w:trPr>
        <w:tc>
          <w:tcPr>
            <w:tcW w:w="5115"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kern w:val="0"/>
                <w:sz w:val="22"/>
                <w:szCs w:val="22"/>
              </w:rPr>
              <w:t>项目</w:t>
            </w:r>
          </w:p>
        </w:tc>
        <w:tc>
          <w:tcPr>
            <w:tcW w:w="2164"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本年支出合计</w:t>
            </w:r>
          </w:p>
        </w:tc>
        <w:tc>
          <w:tcPr>
            <w:tcW w:w="1897"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39"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715"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3"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经营支出</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176" w:hRule="atLeast"/>
        </w:trPr>
        <w:tc>
          <w:tcPr>
            <w:tcW w:w="1188" w:type="dxa"/>
            <w:tcBorders>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kern w:val="0"/>
                <w:sz w:val="22"/>
                <w:szCs w:val="22"/>
              </w:rPr>
            </w:pPr>
            <w:r>
              <w:rPr>
                <w:rFonts w:hint="eastAsia" w:ascii="仿宋" w:hAnsi="仿宋" w:eastAsia="仿宋" w:cs="仿宋"/>
                <w:kern w:val="0"/>
                <w:sz w:val="22"/>
                <w:szCs w:val="22"/>
              </w:rPr>
              <w:t>功能分类</w:t>
            </w:r>
          </w:p>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927" w:type="dxa"/>
            <w:tcBorders>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科目名称</w:t>
            </w:r>
          </w:p>
        </w:tc>
        <w:tc>
          <w:tcPr>
            <w:tcW w:w="2164"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897"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739"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715"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633"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426" w:type="dxa"/>
            <w:vMerge w:val="continue"/>
            <w:tcBorders>
              <w:left w:val="single" w:color="000000" w:sz="4" w:space="0"/>
              <w:bottom w:val="single" w:color="000000" w:sz="4" w:space="0"/>
              <w:right w:val="single" w:color="000000" w:sz="4" w:space="0"/>
            </w:tcBorders>
          </w:tcPr>
          <w:p>
            <w:pPr>
              <w:widowControl w:val="0"/>
              <w:spacing w:before="0" w:after="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82" w:hRule="exact"/>
        </w:trPr>
        <w:tc>
          <w:tcPr>
            <w:tcW w:w="5115"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ascii="仿宋" w:hAnsi="仿宋" w:eastAsia="仿宋" w:cs="仿宋"/>
                <w:sz w:val="22"/>
              </w:rPr>
              <w:t>合计</w:t>
            </w:r>
          </w:p>
        </w:tc>
        <w:tc>
          <w:tcPr>
            <w:tcW w:w="2164"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1,141.64</w:t>
            </w:r>
          </w:p>
        </w:tc>
        <w:tc>
          <w:tcPr>
            <w:tcW w:w="1897"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922.57</w:t>
            </w:r>
          </w:p>
        </w:tc>
        <w:tc>
          <w:tcPr>
            <w:tcW w:w="1739"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219.07</w:t>
            </w:r>
          </w:p>
        </w:tc>
        <w:tc>
          <w:tcPr>
            <w:tcW w:w="1715"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p>
        </w:tc>
        <w:tc>
          <w:tcPr>
            <w:tcW w:w="1633"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p>
        </w:tc>
        <w:tc>
          <w:tcPr>
            <w:tcW w:w="1426"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社会保障和就业支出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920.05</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700.98</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219.07</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20801</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人力资源和社会保障管理事务</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878.75</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700.98</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177.77</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2080150</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事业运行</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10.48</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10.48</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2080199</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其他人力资源和社会保障管理事务支出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868.27</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690.50</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177.77</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20899</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其他社会保障和就业支出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41.30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41.30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2089999</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其他社会保障和就业支出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41.30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41.30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住房保障支出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221.59</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221.59</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住房改革支出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221.59</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221.59</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2210201</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住房公积金</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98.56</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98.56</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2210202</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提租补贴</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123.03</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123.03</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bl>
    <w:p>
      <w:pPr>
        <w:widowControl w:val="0"/>
        <w:suppressAutoHyphens/>
        <w:bidi w:val="0"/>
        <w:spacing w:before="59" w:after="0"/>
        <w:ind w:left="0" w:leftChars="0" w:right="0" w:firstLine="0" w:firstLineChars="0"/>
        <w:jc w:val="left"/>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注：本表反映本年度各项支出情况。本表金额单位转换时可能存在尾数误差。</w:t>
      </w:r>
    </w:p>
    <w:p>
      <w:pPr>
        <w:widowControl w:val="0"/>
        <w:suppressAutoHyphens/>
        <w:bidi w:val="0"/>
        <w:spacing w:before="59" w:after="0"/>
        <w:ind w:left="57" w:right="0" w:firstLine="0"/>
        <w:jc w:val="left"/>
        <w:rPr>
          <w:rFonts w:hint="eastAsia" w:ascii="仿宋" w:hAnsi="仿宋" w:eastAsia="仿宋" w:cs="仿宋"/>
          <w:b w:val="0"/>
          <w:bCs w:val="0"/>
          <w:sz w:val="22"/>
          <w:szCs w:val="22"/>
        </w:rPr>
        <w:sectPr>
          <w:footerReference r:id="rId7" w:type="default"/>
          <w:pgSz w:w="16838" w:h="11906" w:orient="landscape"/>
          <w:pgMar w:top="720" w:right="567" w:bottom="720" w:left="56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72" w:type="dxa"/>
        <w:tblInd w:w="75" w:type="dxa"/>
        <w:tblLayout w:type="fixed"/>
        <w:tblCellMar>
          <w:top w:w="55" w:type="dxa"/>
          <w:left w:w="55" w:type="dxa"/>
          <w:bottom w:w="55" w:type="dxa"/>
          <w:right w:w="55" w:type="dxa"/>
        </w:tblCellMar>
      </w:tblPr>
      <w:tblGrid>
        <w:gridCol w:w="3725"/>
        <w:gridCol w:w="1837"/>
        <w:gridCol w:w="847"/>
        <w:gridCol w:w="1913"/>
        <w:gridCol w:w="907"/>
        <w:gridCol w:w="1728"/>
        <w:gridCol w:w="1194"/>
        <w:gridCol w:w="221"/>
        <w:gridCol w:w="1500"/>
        <w:gridCol w:w="1500"/>
      </w:tblGrid>
      <w:tr>
        <w:tblPrEx>
          <w:tblCellMar>
            <w:top w:w="55" w:type="dxa"/>
            <w:left w:w="55" w:type="dxa"/>
            <w:bottom w:w="55" w:type="dxa"/>
            <w:right w:w="55" w:type="dxa"/>
          </w:tblCellMar>
        </w:tblPrEx>
        <w:trPr>
          <w:trHeight w:val="319" w:hRule="atLeast"/>
        </w:trPr>
        <w:tc>
          <w:tcPr>
            <w:tcW w:w="15372" w:type="dxa"/>
            <w:gridSpan w:val="10"/>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财政拨款收入支出决算总表</w:t>
            </w:r>
          </w:p>
        </w:tc>
      </w:tr>
      <w:tr>
        <w:tblPrEx>
          <w:tblCellMar>
            <w:top w:w="55" w:type="dxa"/>
            <w:left w:w="55" w:type="dxa"/>
            <w:bottom w:w="55" w:type="dxa"/>
            <w:right w:w="55" w:type="dxa"/>
          </w:tblCellMar>
        </w:tblPrEx>
        <w:trPr>
          <w:trHeight w:val="319" w:hRule="atLeast"/>
        </w:trPr>
        <w:tc>
          <w:tcPr>
            <w:tcW w:w="5562" w:type="dxa"/>
            <w:gridSpan w:val="2"/>
          </w:tcPr>
          <w:p>
            <w:pPr>
              <w:pStyle w:val="22"/>
              <w:widowControl w:val="0"/>
              <w:rPr>
                <w:rFonts w:hint="eastAsia" w:ascii="仿宋" w:hAnsi="仿宋" w:eastAsia="仿宋" w:cs="仿宋"/>
                <w:sz w:val="20"/>
              </w:rPr>
            </w:pPr>
          </w:p>
        </w:tc>
        <w:tc>
          <w:tcPr>
            <w:tcW w:w="847" w:type="dxa"/>
          </w:tcPr>
          <w:p>
            <w:pPr>
              <w:pStyle w:val="22"/>
              <w:widowControl w:val="0"/>
              <w:rPr>
                <w:rFonts w:hint="eastAsia" w:ascii="仿宋" w:hAnsi="仿宋" w:eastAsia="仿宋" w:cs="仿宋"/>
                <w:sz w:val="20"/>
              </w:rPr>
            </w:pPr>
          </w:p>
        </w:tc>
        <w:tc>
          <w:tcPr>
            <w:tcW w:w="1913" w:type="dxa"/>
          </w:tcPr>
          <w:p>
            <w:pPr>
              <w:pStyle w:val="22"/>
              <w:widowControl w:val="0"/>
              <w:rPr>
                <w:rFonts w:hint="eastAsia" w:ascii="仿宋" w:hAnsi="仿宋" w:eastAsia="仿宋" w:cs="仿宋"/>
                <w:sz w:val="20"/>
              </w:rPr>
            </w:pPr>
          </w:p>
        </w:tc>
        <w:tc>
          <w:tcPr>
            <w:tcW w:w="2635" w:type="dxa"/>
            <w:gridSpan w:val="2"/>
          </w:tcPr>
          <w:p>
            <w:pPr>
              <w:pStyle w:val="22"/>
              <w:widowControl w:val="0"/>
              <w:rPr>
                <w:rFonts w:hint="eastAsia" w:ascii="仿宋" w:hAnsi="仿宋" w:eastAsia="仿宋" w:cs="仿宋"/>
                <w:sz w:val="20"/>
              </w:rPr>
            </w:pPr>
          </w:p>
        </w:tc>
        <w:tc>
          <w:tcPr>
            <w:tcW w:w="1194" w:type="dxa"/>
          </w:tcPr>
          <w:p>
            <w:pPr>
              <w:pStyle w:val="22"/>
              <w:widowControl w:val="0"/>
              <w:rPr>
                <w:rFonts w:hint="eastAsia" w:ascii="仿宋" w:hAnsi="仿宋" w:eastAsia="仿宋" w:cs="仿宋"/>
                <w:sz w:val="20"/>
              </w:rPr>
            </w:pPr>
          </w:p>
        </w:tc>
        <w:tc>
          <w:tcPr>
            <w:tcW w:w="3221" w:type="dxa"/>
            <w:gridSpan w:val="3"/>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2151" w:type="dxa"/>
            <w:gridSpan w:val="7"/>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sz w:val="22"/>
                <w:szCs w:val="22"/>
              </w:rPr>
              <w:t>南通市人力资源服务中心</w:t>
            </w:r>
          </w:p>
        </w:tc>
        <w:tc>
          <w:tcPr>
            <w:tcW w:w="3221" w:type="dxa"/>
            <w:gridSpan w:val="3"/>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金额单位：万元</w:t>
            </w:r>
          </w:p>
        </w:tc>
      </w:tr>
      <w:tr>
        <w:tblPrEx>
          <w:tblCellMar>
            <w:top w:w="55" w:type="dxa"/>
            <w:left w:w="55" w:type="dxa"/>
            <w:bottom w:w="55" w:type="dxa"/>
            <w:right w:w="55" w:type="dxa"/>
          </w:tblCellMar>
        </w:tblPrEx>
        <w:trPr>
          <w:trHeight w:val="162" w:hRule="atLeast"/>
        </w:trPr>
        <w:tc>
          <w:tcPr>
            <w:tcW w:w="5562"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收</w:t>
            </w:r>
            <w:r>
              <w:rPr>
                <w:rFonts w:hint="eastAsia" w:ascii="仿宋" w:hAnsi="仿宋" w:eastAsia="仿宋" w:cs="仿宋"/>
                <w:sz w:val="22"/>
                <w:szCs w:val="22"/>
              </w:rPr>
              <w:tab/>
            </w:r>
            <w:r>
              <w:rPr>
                <w:rFonts w:hint="eastAsia" w:ascii="仿宋" w:hAnsi="仿宋" w:eastAsia="仿宋" w:cs="仿宋"/>
                <w:sz w:val="22"/>
                <w:szCs w:val="22"/>
              </w:rPr>
              <w:t>入</w:t>
            </w:r>
          </w:p>
        </w:tc>
        <w:tc>
          <w:tcPr>
            <w:tcW w:w="9810" w:type="dxa"/>
            <w:gridSpan w:val="8"/>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支</w:t>
            </w:r>
            <w:r>
              <w:rPr>
                <w:rFonts w:hint="eastAsia" w:ascii="仿宋" w:hAnsi="仿宋" w:eastAsia="仿宋" w:cs="仿宋"/>
                <w:sz w:val="22"/>
                <w:szCs w:val="22"/>
              </w:rPr>
              <w:tab/>
            </w:r>
            <w:r>
              <w:rPr>
                <w:rFonts w:hint="eastAsia" w:ascii="仿宋" w:hAnsi="仿宋" w:eastAsia="仿宋" w:cs="仿宋"/>
                <w:sz w:val="22"/>
                <w:szCs w:val="22"/>
              </w:rPr>
              <w:t>出</w:t>
            </w:r>
          </w:p>
        </w:tc>
      </w:tr>
      <w:tr>
        <w:tblPrEx>
          <w:tblCellMar>
            <w:top w:w="55" w:type="dxa"/>
            <w:left w:w="55" w:type="dxa"/>
            <w:bottom w:w="55" w:type="dxa"/>
            <w:right w:w="55" w:type="dxa"/>
          </w:tblCellMar>
        </w:tblPrEx>
        <w:trPr>
          <w:trHeight w:val="199" w:hRule="atLeast"/>
        </w:trPr>
        <w:tc>
          <w:tcPr>
            <w:tcW w:w="3725"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1837"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决算数</w:t>
            </w:r>
          </w:p>
        </w:tc>
        <w:tc>
          <w:tcPr>
            <w:tcW w:w="3667" w:type="dxa"/>
            <w:gridSpan w:val="3"/>
            <w:vMerge w:val="restart"/>
            <w:tcBorders>
              <w:left w:val="single" w:color="000000" w:sz="4" w:space="0"/>
              <w:bottom w:val="single" w:color="000000" w:sz="4" w:space="0"/>
            </w:tcBorders>
            <w:vAlign w:val="center"/>
          </w:tcPr>
          <w:p>
            <w:pPr>
              <w:widowControl w:val="0"/>
              <w:jc w:val="center"/>
              <w:rPr>
                <w:rFonts w:hint="eastAsia" w:ascii="仿宋" w:hAnsi="仿宋" w:eastAsia="仿宋" w:cs="仿宋"/>
                <w:sz w:val="22"/>
                <w:szCs w:val="22"/>
              </w:rPr>
            </w:pPr>
            <w:r>
              <w:rPr>
                <w:rFonts w:hint="eastAsia" w:ascii="仿宋" w:hAnsi="仿宋" w:eastAsia="仿宋" w:cs="仿宋"/>
                <w:sz w:val="22"/>
                <w:szCs w:val="22"/>
              </w:rPr>
              <w:t>按功能分类</w:t>
            </w:r>
          </w:p>
        </w:tc>
        <w:tc>
          <w:tcPr>
            <w:tcW w:w="6143" w:type="dxa"/>
            <w:gridSpan w:val="5"/>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sz w:val="22"/>
                <w:szCs w:val="22"/>
              </w:rPr>
            </w:pPr>
            <w:r>
              <w:rPr>
                <w:rFonts w:hint="eastAsia" w:ascii="仿宋" w:hAnsi="仿宋" w:eastAsia="仿宋" w:cs="仿宋"/>
                <w:sz w:val="22"/>
                <w:szCs w:val="22"/>
              </w:rPr>
              <w:t>决算数</w:t>
            </w:r>
          </w:p>
        </w:tc>
      </w:tr>
      <w:tr>
        <w:tblPrEx>
          <w:tblCellMar>
            <w:top w:w="55" w:type="dxa"/>
            <w:left w:w="55" w:type="dxa"/>
            <w:bottom w:w="55" w:type="dxa"/>
            <w:right w:w="55" w:type="dxa"/>
          </w:tblCellMar>
        </w:tblPrEx>
        <w:trPr>
          <w:trHeight w:val="578" w:hRule="atLeast"/>
        </w:trPr>
        <w:tc>
          <w:tcPr>
            <w:tcW w:w="3725" w:type="dxa"/>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1837" w:type="dxa"/>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3667" w:type="dxa"/>
            <w:gridSpan w:val="3"/>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172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ascii="仿宋" w:hAnsi="仿宋" w:eastAsia="仿宋" w:cs="仿宋"/>
                <w:sz w:val="22"/>
              </w:rPr>
              <w:t>小计</w:t>
            </w:r>
          </w:p>
        </w:tc>
        <w:tc>
          <w:tcPr>
            <w:tcW w:w="1415"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一般公共预算财政拨款</w:t>
            </w:r>
          </w:p>
        </w:tc>
        <w:tc>
          <w:tcPr>
            <w:tcW w:w="150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政府性基金预算财政拨款</w:t>
            </w:r>
          </w:p>
        </w:tc>
        <w:tc>
          <w:tcPr>
            <w:tcW w:w="1500"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国有资本经营预算财政拨款</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1,141.64</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920.05</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920.05</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九、卫生健康支出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十、节能环保支出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十一、城乡社区支出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十二、农林水支出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十三、交通运输支出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十四、资源勘探工业信息等支出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十五、商业服务业等支出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十六、金融支出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十七、援助其他地区支出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十八、自然资源海洋气象等支出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十九、住房保障支出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221.59</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221.59</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二十、粮油物资储备支出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二十一、国有资本经营预算支出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二十二、灾害防治及应急管理支出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二十三、其他支出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二十四、债务还本支出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二十五、债务付息支出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二十六、抗疫特别国债安排的支出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359" w:hRule="exact"/>
        </w:trPr>
        <w:tc>
          <w:tcPr>
            <w:tcW w:w="3725" w:type="dxa"/>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本年收入合计</w:t>
            </w:r>
          </w:p>
        </w:tc>
        <w:tc>
          <w:tcPr>
            <w:tcW w:w="1837"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1,141.64</w:t>
            </w:r>
          </w:p>
        </w:tc>
        <w:tc>
          <w:tcPr>
            <w:tcW w:w="3667" w:type="dxa"/>
            <w:gridSpan w:val="3"/>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本年支出合计</w:t>
            </w:r>
          </w:p>
        </w:tc>
        <w:tc>
          <w:tcPr>
            <w:tcW w:w="1728"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1,141.64</w:t>
            </w:r>
          </w:p>
        </w:tc>
        <w:tc>
          <w:tcPr>
            <w:tcW w:w="1415" w:type="dxa"/>
            <w:gridSpan w:val="2"/>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1,141.64</w:t>
            </w:r>
          </w:p>
        </w:tc>
        <w:tc>
          <w:tcPr>
            <w:tcW w:w="1500"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年初财政拨款结转和结余</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年末财政拨款结转和结余</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22" w:hRule="exact"/>
        </w:trPr>
        <w:tc>
          <w:tcPr>
            <w:tcW w:w="372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总计</w:t>
            </w:r>
          </w:p>
        </w:tc>
        <w:tc>
          <w:tcPr>
            <w:tcW w:w="1837"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1,141.64</w:t>
            </w:r>
          </w:p>
        </w:tc>
        <w:tc>
          <w:tcPr>
            <w:tcW w:w="3667" w:type="dxa"/>
            <w:gridSpan w:val="3"/>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总计</w:t>
            </w:r>
          </w:p>
        </w:tc>
        <w:tc>
          <w:tcPr>
            <w:tcW w:w="1728"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1,141.64</w:t>
            </w:r>
          </w:p>
        </w:tc>
        <w:tc>
          <w:tcPr>
            <w:tcW w:w="1415" w:type="dxa"/>
            <w:gridSpan w:val="2"/>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1,141.64</w:t>
            </w:r>
          </w:p>
        </w:tc>
        <w:tc>
          <w:tcPr>
            <w:tcW w:w="150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bl>
    <w:p>
      <w:pPr>
        <w:ind w:left="0" w:leftChars="0" w:firstLine="0" w:firstLineChars="0"/>
        <w:jc w:val="both"/>
        <w:rPr>
          <w:rFonts w:hint="eastAsia" w:ascii="仿宋" w:hAnsi="仿宋" w:eastAsia="仿宋" w:cs="仿宋"/>
          <w:b w:val="0"/>
          <w:bCs w:val="0"/>
        </w:rPr>
      </w:pPr>
      <w:r>
        <w:rPr>
          <w:rFonts w:hint="eastAsia" w:ascii="仿宋" w:hAnsi="仿宋" w:eastAsia="仿宋" w:cs="仿宋"/>
          <w:b w:val="0"/>
          <w:bCs w:val="0"/>
          <w:lang w:val="en-US" w:eastAsia="zh-CN"/>
        </w:rPr>
        <w:t>注：</w:t>
      </w:r>
      <w:r>
        <w:rPr>
          <w:rFonts w:hint="eastAsia" w:ascii="仿宋" w:hAnsi="仿宋" w:eastAsia="仿宋" w:cs="仿宋"/>
          <w:b w:val="0"/>
          <w:bCs w:val="0"/>
        </w:rPr>
        <w:t>本表反映本年度一般公共预算财政拨款、政府性基金预算财政拨款和国有资本经营预算财政拨款的总收支和年末结转结余情况。本表金额单位转换时可能存在尾数误差。</w:t>
      </w:r>
    </w:p>
    <w:p>
      <w:pPr>
        <w:jc w:val="both"/>
        <w:rPr>
          <w:rFonts w:hint="eastAsia" w:ascii="仿宋" w:hAnsi="仿宋" w:eastAsia="仿宋" w:cs="仿宋"/>
          <w:b w:val="0"/>
          <w:bCs w:val="0"/>
        </w:rPr>
        <w:sectPr>
          <w:footerReference r:id="rId8"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17" w:type="dxa"/>
        <w:tblInd w:w="44" w:type="dxa"/>
        <w:tblLayout w:type="fixed"/>
        <w:tblCellMar>
          <w:top w:w="55" w:type="dxa"/>
          <w:left w:w="55" w:type="dxa"/>
          <w:bottom w:w="55" w:type="dxa"/>
          <w:right w:w="55" w:type="dxa"/>
        </w:tblCellMar>
      </w:tblPr>
      <w:tblGrid>
        <w:gridCol w:w="1278"/>
        <w:gridCol w:w="5022"/>
        <w:gridCol w:w="3184"/>
        <w:gridCol w:w="2778"/>
        <w:gridCol w:w="3155"/>
      </w:tblGrid>
      <w:tr>
        <w:tblPrEx>
          <w:tblCellMar>
            <w:top w:w="55" w:type="dxa"/>
            <w:left w:w="55" w:type="dxa"/>
            <w:bottom w:w="55" w:type="dxa"/>
            <w:right w:w="55" w:type="dxa"/>
          </w:tblCellMar>
        </w:tblPrEx>
        <w:trPr>
          <w:trHeight w:val="321" w:hRule="atLeast"/>
        </w:trPr>
        <w:tc>
          <w:tcPr>
            <w:tcW w:w="15417"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财政拨款支出决算表（功能科目）</w:t>
            </w:r>
          </w:p>
        </w:tc>
      </w:tr>
      <w:tr>
        <w:tblPrEx>
          <w:tblCellMar>
            <w:top w:w="55" w:type="dxa"/>
            <w:left w:w="55" w:type="dxa"/>
            <w:bottom w:w="55" w:type="dxa"/>
            <w:right w:w="55" w:type="dxa"/>
          </w:tblCellMar>
        </w:tblPrEx>
        <w:trPr>
          <w:trHeight w:val="321" w:hRule="atLeast"/>
        </w:trPr>
        <w:tc>
          <w:tcPr>
            <w:tcW w:w="6300" w:type="dxa"/>
            <w:gridSpan w:val="2"/>
          </w:tcPr>
          <w:p>
            <w:pPr>
              <w:pStyle w:val="22"/>
              <w:widowControl w:val="0"/>
              <w:rPr>
                <w:rFonts w:hint="eastAsia" w:ascii="仿宋" w:hAnsi="仿宋" w:eastAsia="仿宋" w:cs="仿宋"/>
                <w:sz w:val="20"/>
              </w:rPr>
            </w:pPr>
          </w:p>
        </w:tc>
        <w:tc>
          <w:tcPr>
            <w:tcW w:w="3184" w:type="dxa"/>
          </w:tcPr>
          <w:p>
            <w:pPr>
              <w:pStyle w:val="22"/>
              <w:widowControl w:val="0"/>
              <w:rPr>
                <w:rFonts w:hint="eastAsia" w:ascii="仿宋" w:hAnsi="仿宋" w:eastAsia="仿宋" w:cs="仿宋"/>
                <w:sz w:val="27"/>
              </w:rPr>
            </w:pPr>
          </w:p>
        </w:tc>
        <w:tc>
          <w:tcPr>
            <w:tcW w:w="5933" w:type="dxa"/>
            <w:gridSpan w:val="2"/>
            <w:vAlign w:val="center"/>
          </w:tcPr>
          <w:p>
            <w:pPr>
              <w:pStyle w:val="22"/>
              <w:widowControl w:val="0"/>
              <w:jc w:val="right"/>
              <w:rPr>
                <w:rFonts w:hint="eastAsia" w:ascii="仿宋" w:hAnsi="仿宋" w:eastAsia="仿宋" w:cs="仿宋"/>
                <w:sz w:val="27"/>
              </w:rPr>
            </w:pPr>
            <w:r>
              <w:rPr>
                <w:rFonts w:hint="eastAsia" w:ascii="仿宋" w:hAnsi="仿宋" w:eastAsia="仿宋" w:cs="仿宋"/>
              </w:rPr>
              <w:t>公开05表</w:t>
            </w:r>
          </w:p>
        </w:tc>
      </w:tr>
      <w:tr>
        <w:tblPrEx>
          <w:tblCellMar>
            <w:top w:w="55" w:type="dxa"/>
            <w:left w:w="55" w:type="dxa"/>
            <w:bottom w:w="55" w:type="dxa"/>
            <w:right w:w="55" w:type="dxa"/>
          </w:tblCellMar>
        </w:tblPrEx>
        <w:trPr>
          <w:trHeight w:val="288" w:hRule="atLeast"/>
        </w:trPr>
        <w:tc>
          <w:tcPr>
            <w:tcW w:w="6300" w:type="dxa"/>
            <w:gridSpan w:val="2"/>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南通市人力资源服务中心</w:t>
            </w:r>
          </w:p>
        </w:tc>
        <w:tc>
          <w:tcPr>
            <w:tcW w:w="3184" w:type="dxa"/>
          </w:tcPr>
          <w:p>
            <w:pPr>
              <w:pStyle w:val="22"/>
              <w:widowControl w:val="0"/>
              <w:rPr>
                <w:rFonts w:hint="eastAsia" w:ascii="仿宋" w:hAnsi="仿宋" w:eastAsia="仿宋" w:cs="仿宋"/>
                <w:sz w:val="27"/>
              </w:rPr>
            </w:pPr>
          </w:p>
        </w:tc>
        <w:tc>
          <w:tcPr>
            <w:tcW w:w="2778" w:type="dxa"/>
            <w:vAlign w:val="center"/>
          </w:tcPr>
          <w:p>
            <w:pPr>
              <w:pStyle w:val="22"/>
              <w:widowControl w:val="0"/>
              <w:jc w:val="right"/>
              <w:rPr>
                <w:rFonts w:hint="eastAsia" w:ascii="仿宋" w:hAnsi="仿宋" w:eastAsia="仿宋" w:cs="仿宋"/>
                <w:sz w:val="27"/>
              </w:rPr>
            </w:pPr>
          </w:p>
        </w:tc>
        <w:tc>
          <w:tcPr>
            <w:tcW w:w="3155"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319" w:hRule="atLeast"/>
        </w:trPr>
        <w:tc>
          <w:tcPr>
            <w:tcW w:w="6300" w:type="dxa"/>
            <w:gridSpan w:val="2"/>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3184"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本年支出合计</w:t>
            </w:r>
          </w:p>
        </w:tc>
        <w:tc>
          <w:tcPr>
            <w:tcW w:w="2778"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3155" w:type="dxa"/>
            <w:vMerge w:val="restart"/>
            <w:tcBorders>
              <w:top w:val="single" w:color="000000" w:sz="6" w:space="0"/>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278"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功能分类</w:t>
            </w:r>
          </w:p>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5022"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3184"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2778"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3155"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275" w:hRule="atLeast"/>
        </w:trPr>
        <w:tc>
          <w:tcPr>
            <w:tcW w:w="6300"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栏次</w:t>
            </w:r>
          </w:p>
        </w:tc>
        <w:tc>
          <w:tcPr>
            <w:tcW w:w="3184"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1</w:t>
            </w:r>
          </w:p>
        </w:tc>
        <w:tc>
          <w:tcPr>
            <w:tcW w:w="2778"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2</w:t>
            </w:r>
          </w:p>
        </w:tc>
        <w:tc>
          <w:tcPr>
            <w:tcW w:w="3155" w:type="dxa"/>
            <w:tcBorders>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3</w:t>
            </w:r>
          </w:p>
        </w:tc>
      </w:tr>
      <w:tr>
        <w:tblPrEx>
          <w:tblCellMar>
            <w:top w:w="55" w:type="dxa"/>
            <w:left w:w="55" w:type="dxa"/>
            <w:bottom w:w="55" w:type="dxa"/>
            <w:right w:w="55" w:type="dxa"/>
          </w:tblCellMar>
        </w:tblPrEx>
        <w:trPr>
          <w:trHeight w:val="374" w:hRule="exact"/>
        </w:trPr>
        <w:tc>
          <w:tcPr>
            <w:tcW w:w="6300"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3184"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1,141.64</w:t>
            </w:r>
          </w:p>
        </w:tc>
        <w:tc>
          <w:tcPr>
            <w:tcW w:w="2778"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rPr>
              <w:t>922.57</w:t>
            </w:r>
          </w:p>
        </w:tc>
        <w:tc>
          <w:tcPr>
            <w:tcW w:w="3155"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219.07</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920.05</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700.98</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219.07</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人力资源和社会保障管理事务</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878.75</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700.98</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177.77</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2080150</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事业运行</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10.48</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10.48</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2080199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其他人力资源和社会保障管理事务支出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868.27</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690.50</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177.77</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其他社会保障和就业支出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41.30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41.30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2089999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其他社会保障和就业支出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41.30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41.30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221.59</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221.59</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住房改革支出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221.59</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221.59</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住房公积金</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98.56</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98.56</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提租补贴</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123.03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123.03</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bl>
    <w:p>
      <w:pPr>
        <w:widowControl w:val="0"/>
        <w:tabs>
          <w:tab w:val="left" w:pos="0"/>
        </w:tabs>
        <w:suppressAutoHyphens/>
        <w:bidi w:val="0"/>
        <w:spacing w:before="0" w:after="0"/>
        <w:ind w:left="0" w:leftChars="0" w:right="0" w:firstLine="0" w:firstLineChars="0"/>
        <w:jc w:val="both"/>
        <w:rPr>
          <w:rFonts w:hint="eastAsia" w:ascii="仿宋" w:hAnsi="仿宋" w:eastAsia="仿宋" w:cs="仿宋"/>
          <w:b w:val="0"/>
          <w:bCs w:val="0"/>
        </w:rPr>
      </w:pPr>
      <w:r>
        <w:rPr>
          <w:rFonts w:hint="eastAsia" w:ascii="仿宋" w:hAnsi="仿宋" w:eastAsia="仿宋" w:cs="仿宋"/>
          <w:b w:val="0"/>
          <w:bCs w:val="0"/>
        </w:rPr>
        <w:t>注：本表反映本年度一般公共预算财政拨款、政府性基金预算财政拨款和国有资本经营预算财政拨款支出情况。本表金额单位转换时可能存在尾数误差。</w:t>
      </w:r>
    </w:p>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val="0"/>
          <w:bCs w:val="0"/>
        </w:rPr>
        <w:sectPr>
          <w:footerReference r:id="rId9"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515" w:type="dxa"/>
        <w:tblInd w:w="38" w:type="dxa"/>
        <w:tblLayout w:type="fixed"/>
        <w:tblCellMar>
          <w:top w:w="55" w:type="dxa"/>
          <w:left w:w="55" w:type="dxa"/>
          <w:bottom w:w="55" w:type="dxa"/>
          <w:right w:w="55" w:type="dxa"/>
        </w:tblCellMar>
      </w:tblPr>
      <w:tblGrid>
        <w:gridCol w:w="990"/>
        <w:gridCol w:w="3542"/>
        <w:gridCol w:w="2047"/>
        <w:gridCol w:w="2040"/>
        <w:gridCol w:w="1896"/>
      </w:tblGrid>
      <w:tr>
        <w:tblPrEx>
          <w:tblCellMar>
            <w:top w:w="55" w:type="dxa"/>
            <w:left w:w="55" w:type="dxa"/>
            <w:bottom w:w="55" w:type="dxa"/>
            <w:right w:w="55" w:type="dxa"/>
          </w:tblCellMar>
        </w:tblPrEx>
        <w:trPr>
          <w:trHeight w:val="319" w:hRule="atLeast"/>
        </w:trPr>
        <w:tc>
          <w:tcPr>
            <w:tcW w:w="10515"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财政拨款基本支出决算表（经济科目）</w:t>
            </w:r>
          </w:p>
        </w:tc>
      </w:tr>
      <w:tr>
        <w:tblPrEx>
          <w:tblCellMar>
            <w:top w:w="55" w:type="dxa"/>
            <w:left w:w="55" w:type="dxa"/>
            <w:bottom w:w="55" w:type="dxa"/>
            <w:right w:w="55" w:type="dxa"/>
          </w:tblCellMar>
        </w:tblPrEx>
        <w:trPr>
          <w:trHeight w:val="319" w:hRule="atLeast"/>
        </w:trPr>
        <w:tc>
          <w:tcPr>
            <w:tcW w:w="4532" w:type="dxa"/>
            <w:gridSpan w:val="2"/>
          </w:tcPr>
          <w:p>
            <w:pPr>
              <w:pStyle w:val="22"/>
              <w:widowControl w:val="0"/>
              <w:rPr>
                <w:rFonts w:hint="eastAsia" w:ascii="仿宋" w:hAnsi="仿宋" w:eastAsia="仿宋" w:cs="仿宋"/>
                <w:sz w:val="20"/>
              </w:rPr>
            </w:pPr>
          </w:p>
        </w:tc>
        <w:tc>
          <w:tcPr>
            <w:tcW w:w="2047" w:type="dxa"/>
          </w:tcPr>
          <w:p>
            <w:pPr>
              <w:pStyle w:val="22"/>
              <w:widowControl w:val="0"/>
              <w:rPr>
                <w:rFonts w:hint="eastAsia" w:ascii="仿宋" w:hAnsi="仿宋" w:eastAsia="仿宋" w:cs="仿宋"/>
                <w:sz w:val="20"/>
              </w:rPr>
            </w:pPr>
          </w:p>
        </w:tc>
        <w:tc>
          <w:tcPr>
            <w:tcW w:w="2040" w:type="dxa"/>
          </w:tcPr>
          <w:p>
            <w:pPr>
              <w:pStyle w:val="22"/>
              <w:widowControl w:val="0"/>
              <w:rPr>
                <w:rFonts w:hint="eastAsia" w:ascii="仿宋" w:hAnsi="仿宋" w:eastAsia="仿宋" w:cs="仿宋"/>
                <w:sz w:val="20"/>
              </w:rPr>
            </w:pPr>
          </w:p>
        </w:tc>
        <w:tc>
          <w:tcPr>
            <w:tcW w:w="1896"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8619"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sz w:val="22"/>
                <w:szCs w:val="22"/>
              </w:rPr>
              <w:t>南通市人力资源服务中心</w:t>
            </w:r>
          </w:p>
        </w:tc>
        <w:tc>
          <w:tcPr>
            <w:tcW w:w="1896"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43" w:hRule="atLeast"/>
        </w:trPr>
        <w:tc>
          <w:tcPr>
            <w:tcW w:w="4532"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5983"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财政拨款基本支出</w:t>
            </w:r>
          </w:p>
        </w:tc>
      </w:tr>
      <w:tr>
        <w:tblPrEx>
          <w:tblCellMar>
            <w:top w:w="55" w:type="dxa"/>
            <w:left w:w="55" w:type="dxa"/>
            <w:bottom w:w="55" w:type="dxa"/>
            <w:right w:w="55" w:type="dxa"/>
          </w:tblCellMar>
        </w:tblPrEx>
        <w:trPr>
          <w:trHeight w:val="483" w:hRule="atLeast"/>
        </w:trPr>
        <w:tc>
          <w:tcPr>
            <w:tcW w:w="99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经济分类科目编码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896"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409" w:hRule="exact"/>
        </w:trPr>
        <w:tc>
          <w:tcPr>
            <w:tcW w:w="4532"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ascii="仿宋" w:hAnsi="仿宋" w:eastAsia="仿宋" w:cs="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922.57</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858.12</w:t>
            </w:r>
          </w:p>
        </w:tc>
        <w:tc>
          <w:tcPr>
            <w:tcW w:w="1896"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64.45</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801.82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801.82</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148.49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148.49</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170.98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170.98</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118.98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118.98</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53.17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53.17</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19.58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19.58</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9.79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9.79</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27.92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27.92</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公务员医疗补助缴费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98.56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98.56</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152.55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152.55</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64.45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64.45</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14.36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14.36</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2.08</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咨询费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手续费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7.72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7.72</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取暖费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物业管理费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0.64</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因公出国（境）费用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维修（护）费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2.49</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租赁费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2.04</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专用材料费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被装购置费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专用燃料费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劳务费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委托业务费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9.46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9.46</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12.15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12.15</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公务用车运行维护费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2.35</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30240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税金及附加费用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11.16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11.16</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56.30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56.30</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离休费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34.52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34.52</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退职（役）费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抚恤金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生活补助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救济费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助学金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奖励金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个人农业生产补贴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代缴社会保险费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21.78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21.78</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债务利息及费用支出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房屋建筑物购建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基础设施建设</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大型修缮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信息网络及软件购置更新</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物资储备</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土地补偿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安置补助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地上附着物和青苗补偿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拆迁补偿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其他交通工具购置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文物和陈列品购置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无形资产购置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资本金注入</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政府投资基金股权投资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费用补贴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利息补贴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其他支出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国家赔偿费用支出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对民间非营利组织和群众性自治组织补贴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经常性赠与</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资本性赠与</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bl>
    <w:p>
      <w:pPr>
        <w:widowControl w:val="0"/>
        <w:tabs>
          <w:tab w:val="left" w:pos="660"/>
          <w:tab w:val="left" w:pos="10780"/>
        </w:tabs>
        <w:suppressAutoHyphens/>
        <w:bidi w:val="0"/>
        <w:spacing w:before="25" w:after="0" w:line="290" w:lineRule="auto"/>
        <w:ind w:left="0" w:leftChars="0" w:right="0"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注：本表反映本年度一般公共预算财政拨款、政府性基金预算财政拨款和国有资本经营预算财政拨款基本支出情况。本表金额单位转换时可能存在尾数误差。</w:t>
      </w:r>
    </w:p>
    <w:p>
      <w:pPr>
        <w:widowControl w:val="0"/>
        <w:numPr>
          <w:ilvl w:val="0"/>
          <w:numId w:val="0"/>
        </w:numPr>
        <w:suppressAutoHyphens/>
        <w:bidi w:val="0"/>
        <w:spacing w:before="0" w:after="0" w:line="255" w:lineRule="exact"/>
        <w:jc w:val="both"/>
        <w:rPr>
          <w:rFonts w:hint="eastAsia" w:ascii="仿宋" w:hAnsi="仿宋" w:eastAsia="仿宋" w:cs="仿宋"/>
          <w:b w:val="0"/>
          <w:bCs w:val="0"/>
          <w:sz w:val="22"/>
          <w:szCs w:val="22"/>
        </w:rPr>
        <w:sectPr>
          <w:footerReference r:id="rId10"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46" w:type="dxa"/>
        <w:tblInd w:w="78" w:type="dxa"/>
        <w:tblLayout w:type="fixed"/>
        <w:tblCellMar>
          <w:top w:w="55" w:type="dxa"/>
          <w:left w:w="55" w:type="dxa"/>
          <w:bottom w:w="55" w:type="dxa"/>
          <w:right w:w="55" w:type="dxa"/>
        </w:tblCellMar>
      </w:tblPr>
      <w:tblGrid>
        <w:gridCol w:w="1134"/>
        <w:gridCol w:w="4332"/>
        <w:gridCol w:w="1969"/>
        <w:gridCol w:w="1499"/>
        <w:gridCol w:w="1512"/>
      </w:tblGrid>
      <w:tr>
        <w:trPr>
          <w:trHeight w:val="560" w:hRule="atLeast"/>
        </w:trPr>
        <w:tc>
          <w:tcPr>
            <w:tcW w:w="10446"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一般公共预算支出决算表（功能科目）</w:t>
            </w:r>
          </w:p>
        </w:tc>
      </w:tr>
      <w:tr>
        <w:tblPrEx>
          <w:tblCellMar>
            <w:top w:w="55" w:type="dxa"/>
            <w:left w:w="55" w:type="dxa"/>
            <w:bottom w:w="55" w:type="dxa"/>
            <w:right w:w="55" w:type="dxa"/>
          </w:tblCellMar>
        </w:tblPrEx>
        <w:trPr>
          <w:trHeight w:val="147" w:hRule="atLeast"/>
        </w:trPr>
        <w:tc>
          <w:tcPr>
            <w:tcW w:w="5466" w:type="dxa"/>
            <w:gridSpan w:val="2"/>
          </w:tcPr>
          <w:p>
            <w:pPr>
              <w:pStyle w:val="22"/>
              <w:widowControl w:val="0"/>
              <w:rPr>
                <w:rFonts w:hint="eastAsia" w:ascii="仿宋" w:hAnsi="仿宋" w:eastAsia="仿宋" w:cs="仿宋"/>
                <w:sz w:val="20"/>
              </w:rPr>
            </w:pPr>
          </w:p>
        </w:tc>
        <w:tc>
          <w:tcPr>
            <w:tcW w:w="1969" w:type="dxa"/>
          </w:tcPr>
          <w:p>
            <w:pPr>
              <w:pStyle w:val="22"/>
              <w:widowControl w:val="0"/>
              <w:rPr>
                <w:rFonts w:hint="eastAsia" w:ascii="仿宋" w:hAnsi="仿宋" w:eastAsia="仿宋" w:cs="仿宋"/>
                <w:sz w:val="20"/>
              </w:rPr>
            </w:pPr>
          </w:p>
        </w:tc>
        <w:tc>
          <w:tcPr>
            <w:tcW w:w="1499" w:type="dxa"/>
          </w:tcPr>
          <w:p>
            <w:pPr>
              <w:pStyle w:val="22"/>
              <w:widowControl w:val="0"/>
              <w:rPr>
                <w:rFonts w:hint="eastAsia" w:ascii="仿宋" w:hAnsi="仿宋" w:eastAsia="仿宋" w:cs="仿宋"/>
                <w:sz w:val="20"/>
              </w:rPr>
            </w:pPr>
          </w:p>
        </w:tc>
        <w:tc>
          <w:tcPr>
            <w:tcW w:w="1512"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公开07表</w:t>
            </w:r>
          </w:p>
        </w:tc>
      </w:tr>
      <w:tr>
        <w:tblPrEx>
          <w:tblCellMar>
            <w:top w:w="55" w:type="dxa"/>
            <w:left w:w="55" w:type="dxa"/>
            <w:bottom w:w="55" w:type="dxa"/>
            <w:right w:w="55" w:type="dxa"/>
          </w:tblCellMar>
        </w:tblPrEx>
        <w:trPr>
          <w:trHeight w:val="303" w:hRule="atLeast"/>
        </w:trPr>
        <w:tc>
          <w:tcPr>
            <w:tcW w:w="7435" w:type="dxa"/>
            <w:gridSpan w:val="3"/>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南通市人力资源服务中心</w:t>
            </w:r>
          </w:p>
        </w:tc>
        <w:tc>
          <w:tcPr>
            <w:tcW w:w="3011" w:type="dxa"/>
            <w:gridSpan w:val="2"/>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58" w:hRule="atLeast"/>
        </w:trPr>
        <w:tc>
          <w:tcPr>
            <w:tcW w:w="5466" w:type="dxa"/>
            <w:gridSpan w:val="2"/>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1969"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1499"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1512" w:type="dxa"/>
            <w:vMerge w:val="restart"/>
            <w:tcBorders>
              <w:top w:val="single" w:color="000000" w:sz="6" w:space="0"/>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561" w:hRule="atLeast"/>
        </w:trPr>
        <w:tc>
          <w:tcPr>
            <w:tcW w:w="1134"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功能分类科目编码</w:t>
            </w:r>
          </w:p>
        </w:tc>
        <w:tc>
          <w:tcPr>
            <w:tcW w:w="4332"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1969" w:type="dxa"/>
            <w:vMerge w:val="continue"/>
            <w:tcBorders>
              <w:left w:val="single" w:color="000000" w:sz="6" w:space="0"/>
              <w:bottom w:val="single" w:color="000000" w:sz="6" w:space="0"/>
            </w:tcBorders>
          </w:tcPr>
          <w:p>
            <w:pPr>
              <w:widowControl w:val="0"/>
              <w:jc w:val="left"/>
              <w:rPr>
                <w:rFonts w:hint="eastAsia" w:ascii="仿宋" w:hAnsi="仿宋" w:eastAsia="仿宋" w:cs="仿宋"/>
                <w:sz w:val="2"/>
                <w:szCs w:val="2"/>
              </w:rPr>
            </w:pPr>
          </w:p>
        </w:tc>
        <w:tc>
          <w:tcPr>
            <w:tcW w:w="1499" w:type="dxa"/>
            <w:vMerge w:val="continue"/>
            <w:tcBorders>
              <w:left w:val="single" w:color="000000" w:sz="6" w:space="0"/>
              <w:bottom w:val="single" w:color="000000" w:sz="6" w:space="0"/>
            </w:tcBorders>
          </w:tcPr>
          <w:p>
            <w:pPr>
              <w:widowControl w:val="0"/>
              <w:jc w:val="left"/>
              <w:rPr>
                <w:rFonts w:hint="eastAsia" w:ascii="仿宋" w:hAnsi="仿宋" w:eastAsia="仿宋" w:cs="仿宋"/>
                <w:sz w:val="2"/>
                <w:szCs w:val="2"/>
              </w:rPr>
            </w:pPr>
          </w:p>
        </w:tc>
        <w:tc>
          <w:tcPr>
            <w:tcW w:w="1512"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trHeight w:val="152" w:hRule="atLeast"/>
        </w:trPr>
        <w:tc>
          <w:tcPr>
            <w:tcW w:w="5466"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1969"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w:t>
            </w:r>
          </w:p>
        </w:tc>
        <w:tc>
          <w:tcPr>
            <w:tcW w:w="1499"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1512" w:type="dxa"/>
            <w:tcBorders>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3</w:t>
            </w:r>
          </w:p>
        </w:tc>
      </w:tr>
      <w:tr>
        <w:tblPrEx>
          <w:tblCellMar>
            <w:top w:w="55" w:type="dxa"/>
            <w:left w:w="55" w:type="dxa"/>
            <w:bottom w:w="55" w:type="dxa"/>
            <w:right w:w="55" w:type="dxa"/>
          </w:tblCellMar>
        </w:tblPrEx>
        <w:trPr>
          <w:trHeight w:val="298" w:hRule="exact"/>
        </w:trPr>
        <w:tc>
          <w:tcPr>
            <w:tcW w:w="5466"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合计</w:t>
            </w:r>
          </w:p>
        </w:tc>
        <w:tc>
          <w:tcPr>
            <w:tcW w:w="1969" w:type="dxa"/>
            <w:tcBorders>
              <w:left w:val="single" w:color="000000" w:sz="6" w:space="0"/>
              <w:bottom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1,141.64</w:t>
            </w:r>
          </w:p>
        </w:tc>
        <w:tc>
          <w:tcPr>
            <w:tcW w:w="1499" w:type="dxa"/>
            <w:tcBorders>
              <w:left w:val="single" w:color="000000" w:sz="6" w:space="0"/>
              <w:bottom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922.57</w:t>
            </w:r>
          </w:p>
        </w:tc>
        <w:tc>
          <w:tcPr>
            <w:tcW w:w="1512" w:type="dxa"/>
            <w:tcBorders>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219.07</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社会保障和就业支出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920.05</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700.98</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219.07</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人力资源和社会保障管理事务</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878.75</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700.98</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177.77</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2080150</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事业运行</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10.48</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10.48</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2080199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其他人力资源和社会保障管理事务支出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868.27</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690.50</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177.77</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其他社会保障和就业支出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41.30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41.30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2089999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其他社会保障和就业支出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41.30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41.30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住房保障支出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221.59</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221.59</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住房改革支出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221.59</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221.59</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98.56</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98.56</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提租补贴</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123.03</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123.03</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bl>
    <w:p>
      <w:pPr>
        <w:tabs>
          <w:tab w:val="left" w:pos="0"/>
        </w:tabs>
        <w:spacing w:before="25" w:after="0"/>
        <w:ind w:left="0" w:leftChars="0" w:right="0"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注：本表反映本年度一般公共预算财政拨款支出情况。本表金额单位转换时可能存在尾数误差。</w:t>
      </w:r>
    </w:p>
    <w:p>
      <w:pPr>
        <w:widowControl w:val="0"/>
        <w:numPr>
          <w:ilvl w:val="0"/>
          <w:numId w:val="0"/>
        </w:numPr>
        <w:suppressAutoHyphens/>
        <w:bidi w:val="0"/>
        <w:spacing w:before="25" w:after="0"/>
        <w:jc w:val="both"/>
        <w:rPr>
          <w:rFonts w:hint="eastAsia" w:ascii="仿宋" w:hAnsi="仿宋" w:eastAsia="仿宋" w:cs="仿宋"/>
          <w:b w:val="0"/>
          <w:bCs w:val="0"/>
          <w:sz w:val="22"/>
          <w:szCs w:val="22"/>
        </w:rPr>
        <w:sectPr>
          <w:footerReference r:id="rId11"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73" w:type="dxa"/>
        <w:tblInd w:w="65" w:type="dxa"/>
        <w:tblLayout w:type="fixed"/>
        <w:tblCellMar>
          <w:top w:w="55" w:type="dxa"/>
          <w:left w:w="55" w:type="dxa"/>
          <w:bottom w:w="55" w:type="dxa"/>
          <w:right w:w="55" w:type="dxa"/>
        </w:tblCellMar>
      </w:tblPr>
      <w:tblGrid>
        <w:gridCol w:w="1121"/>
        <w:gridCol w:w="3566"/>
        <w:gridCol w:w="2200"/>
        <w:gridCol w:w="1708"/>
        <w:gridCol w:w="1878"/>
      </w:tblGrid>
      <w:tr>
        <w:tblPrEx>
          <w:tblCellMar>
            <w:top w:w="55" w:type="dxa"/>
            <w:left w:w="55" w:type="dxa"/>
            <w:bottom w:w="55" w:type="dxa"/>
            <w:right w:w="55" w:type="dxa"/>
          </w:tblCellMar>
        </w:tblPrEx>
        <w:trPr>
          <w:trHeight w:val="319" w:hRule="atLeast"/>
        </w:trPr>
        <w:tc>
          <w:tcPr>
            <w:tcW w:w="10473" w:type="dxa"/>
            <w:gridSpan w:val="5"/>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一般公共预算基本支出决算表（经济科目）</w:t>
            </w:r>
          </w:p>
        </w:tc>
      </w:tr>
      <w:tr>
        <w:tblPrEx>
          <w:tblCellMar>
            <w:top w:w="55" w:type="dxa"/>
            <w:left w:w="55" w:type="dxa"/>
            <w:bottom w:w="55" w:type="dxa"/>
            <w:right w:w="55" w:type="dxa"/>
          </w:tblCellMar>
        </w:tblPrEx>
        <w:trPr>
          <w:trHeight w:val="199" w:hRule="atLeast"/>
        </w:trPr>
        <w:tc>
          <w:tcPr>
            <w:tcW w:w="8595" w:type="dxa"/>
            <w:gridSpan w:val="4"/>
            <w:vAlign w:val="center"/>
          </w:tcPr>
          <w:p>
            <w:pPr>
              <w:pStyle w:val="22"/>
              <w:widowControl w:val="0"/>
              <w:jc w:val="right"/>
              <w:rPr>
                <w:rFonts w:hint="eastAsia" w:ascii="仿宋" w:hAnsi="仿宋" w:eastAsia="仿宋" w:cs="仿宋"/>
                <w:color w:val="000000"/>
                <w:sz w:val="22"/>
                <w:szCs w:val="22"/>
                <w:lang w:eastAsia="zh-CN"/>
              </w:rPr>
            </w:pPr>
          </w:p>
        </w:tc>
        <w:tc>
          <w:tcPr>
            <w:tcW w:w="1878" w:type="dxa"/>
            <w:vAlign w:val="center"/>
          </w:tcPr>
          <w:p>
            <w:pPr>
              <w:pStyle w:val="22"/>
              <w:widowControl w:val="0"/>
              <w:jc w:val="right"/>
              <w:rPr>
                <w:rFonts w:hint="eastAsia" w:ascii="仿宋" w:hAnsi="仿宋" w:eastAsia="仿宋" w:cs="仿宋"/>
              </w:rPr>
            </w:pPr>
            <w:r>
              <w:rPr>
                <w:rFonts w:hint="eastAsia" w:ascii="仿宋" w:hAnsi="仿宋" w:eastAsia="仿宋" w:cs="仿宋"/>
              </w:rPr>
              <w:t>公开08表</w:t>
            </w:r>
          </w:p>
        </w:tc>
      </w:tr>
      <w:tr>
        <w:tblPrEx>
          <w:tblCellMar>
            <w:top w:w="55" w:type="dxa"/>
            <w:left w:w="55" w:type="dxa"/>
            <w:bottom w:w="55" w:type="dxa"/>
            <w:right w:w="55" w:type="dxa"/>
          </w:tblCellMar>
        </w:tblPrEx>
        <w:trPr>
          <w:trHeight w:val="320" w:hRule="atLeast"/>
        </w:trPr>
        <w:tc>
          <w:tcPr>
            <w:tcW w:w="8595"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南通市人力资源服务中心</w:t>
            </w:r>
          </w:p>
        </w:tc>
        <w:tc>
          <w:tcPr>
            <w:tcW w:w="1878"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80" w:hRule="atLeast"/>
        </w:trPr>
        <w:tc>
          <w:tcPr>
            <w:tcW w:w="4687"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5786"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一般公共预算财政拨款基本支出</w:t>
            </w:r>
          </w:p>
        </w:tc>
      </w:tr>
      <w:tr>
        <w:tblPrEx>
          <w:tblCellMar>
            <w:top w:w="55" w:type="dxa"/>
            <w:left w:w="55" w:type="dxa"/>
            <w:bottom w:w="55" w:type="dxa"/>
            <w:right w:w="55" w:type="dxa"/>
          </w:tblCellMar>
        </w:tblPrEx>
        <w:trPr>
          <w:trHeight w:val="474" w:hRule="atLeast"/>
        </w:trPr>
        <w:tc>
          <w:tcPr>
            <w:tcW w:w="112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经济分类科目编码</w:t>
            </w:r>
          </w:p>
        </w:tc>
        <w:tc>
          <w:tcPr>
            <w:tcW w:w="3566"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20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70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87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94" w:hRule="exact"/>
        </w:trPr>
        <w:tc>
          <w:tcPr>
            <w:tcW w:w="4687"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2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922.57</w:t>
            </w:r>
          </w:p>
        </w:tc>
        <w:tc>
          <w:tcPr>
            <w:tcW w:w="170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858.12</w:t>
            </w:r>
          </w:p>
        </w:tc>
        <w:tc>
          <w:tcPr>
            <w:tcW w:w="187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64.45</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工资福利支出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801.82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801.82</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基本工资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148.49</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148.49</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津贴补贴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170.98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170.98</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118.98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118.98</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伙食补助费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绩效工资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53.17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53.17</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19.58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19.58</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职业年金缴费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9.79</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9.79</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职工基本医疗保险缴费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27.92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27.92</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公务员医疗补助缴费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98.56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98.56</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其他工资福利支出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152.55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152.55</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商品和服务支出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64.45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64.45</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14.36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14.36</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印刷费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2.08</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咨询费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手续费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电费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邮电费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7.72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7.72</w:t>
            </w: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取暖费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物业管理费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差旅费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0.64</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因公出国（境）费用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维修（护）费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2.49</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2.49</w:t>
            </w: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租赁费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会议费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培训费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2.04</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公务接待费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专用材料费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被装购置费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专用燃料费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劳务费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委托业务费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工会经费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9.46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9.46</w:t>
            </w: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福利费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12.15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12.15</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公务用车运行维护费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2.35</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30240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税金及附加费用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其他商品和服务支出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11.16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11.16</w:t>
            </w: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对个人和家庭的补助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56.30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56.30</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离休费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退休费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34.52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34.52</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退职（役）费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抚恤金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生活补助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救济费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助学金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奖励金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个人农业生产补贴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代缴社会保险费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其他对个人和家庭的补助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21.78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21.78</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债务利息及费用支出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国内债务付息</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国外债务付息</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国内债务发行费用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国外债务发行费用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资本性支出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房屋建筑物购建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办公设备购置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专用设备购置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基础设施建设</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大型修缮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信息网络及软件购置更新</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物资储备</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土地补偿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安置补助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地上附着物和青苗补偿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拆迁补偿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其他交通工具购置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文物和陈列品购置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无形资产购置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其他资本性支出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对企业补助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资本金注入</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政府投资基金股权投资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费用补贴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利息补贴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其他对企业补助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其他支出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国家赔偿费用支出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对民间非营利组织和群众性自治组织补贴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经常性赠与</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资本性赠与</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bl>
    <w:p>
      <w:pPr>
        <w:spacing w:before="25" w:after="0"/>
        <w:ind w:left="0" w:leftChars="0" w:right="-92" w:rightChars="-42"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注：本表反映本年度一般公共预算财政拨款基本支出情况。本表金额单位转换时可能存在尾数误差。</w:t>
      </w:r>
    </w:p>
    <w:p>
      <w:pPr>
        <w:widowControl w:val="0"/>
        <w:numPr>
          <w:ilvl w:val="0"/>
          <w:numId w:val="0"/>
        </w:numPr>
        <w:suppressAutoHyphens/>
        <w:bidi w:val="0"/>
        <w:spacing w:before="25" w:after="0"/>
        <w:jc w:val="both"/>
        <w:rPr>
          <w:rFonts w:hint="eastAsia" w:ascii="仿宋" w:hAnsi="仿宋" w:eastAsia="仿宋" w:cs="仿宋"/>
          <w:b w:val="0"/>
          <w:bCs w:val="0"/>
          <w:sz w:val="22"/>
          <w:szCs w:val="22"/>
        </w:rPr>
        <w:sectPr>
          <w:footerReference r:id="rId12"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486" w:type="dxa"/>
        <w:tblInd w:w="62" w:type="dxa"/>
        <w:tblLayout w:type="fixed"/>
        <w:tblCellMar>
          <w:top w:w="55" w:type="dxa"/>
          <w:left w:w="55" w:type="dxa"/>
          <w:bottom w:w="55" w:type="dxa"/>
          <w:right w:w="55" w:type="dxa"/>
        </w:tblCellMar>
      </w:tblPr>
      <w:tblGrid>
        <w:gridCol w:w="1044"/>
        <w:gridCol w:w="1042"/>
        <w:gridCol w:w="1020"/>
        <w:gridCol w:w="1029"/>
        <w:gridCol w:w="998"/>
        <w:gridCol w:w="1026"/>
        <w:gridCol w:w="1043"/>
        <w:gridCol w:w="1010"/>
        <w:gridCol w:w="1058"/>
        <w:gridCol w:w="1010"/>
        <w:gridCol w:w="948"/>
        <w:gridCol w:w="1089"/>
        <w:gridCol w:w="1042"/>
        <w:gridCol w:w="1043"/>
        <w:gridCol w:w="1057"/>
        <w:gridCol w:w="1027"/>
      </w:tblGrid>
      <w:tr>
        <w:tblPrEx>
          <w:tblCellMar>
            <w:top w:w="55" w:type="dxa"/>
            <w:left w:w="55" w:type="dxa"/>
            <w:bottom w:w="55" w:type="dxa"/>
            <w:right w:w="55" w:type="dxa"/>
          </w:tblCellMar>
        </w:tblPrEx>
        <w:trPr>
          <w:trHeight w:val="321" w:hRule="atLeast"/>
        </w:trPr>
        <w:tc>
          <w:tcPr>
            <w:tcW w:w="16486" w:type="dxa"/>
            <w:gridSpan w:val="16"/>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en-US" w:eastAsia="zh-CN" w:bidi="zh-CN"/>
              </w:rPr>
              <w:t>财政拨款“三公”经费、会议费和培训费支出决算表</w:t>
            </w:r>
          </w:p>
        </w:tc>
      </w:tr>
      <w:tr>
        <w:tblPrEx>
          <w:tblCellMar>
            <w:top w:w="55" w:type="dxa"/>
            <w:left w:w="55" w:type="dxa"/>
            <w:bottom w:w="55" w:type="dxa"/>
            <w:right w:w="55" w:type="dxa"/>
          </w:tblCellMar>
        </w:tblPrEx>
        <w:trPr>
          <w:trHeight w:val="207" w:hRule="atLeast"/>
        </w:trPr>
        <w:tc>
          <w:tcPr>
            <w:tcW w:w="16486" w:type="dxa"/>
            <w:gridSpan w:val="16"/>
          </w:tcPr>
          <w:p>
            <w:pPr>
              <w:pStyle w:val="22"/>
              <w:widowControl w:val="0"/>
              <w:jc w:val="right"/>
              <w:rPr>
                <w:rFonts w:hint="eastAsia" w:ascii="仿宋" w:hAnsi="仿宋" w:eastAsia="仿宋" w:cs="仿宋"/>
                <w:sz w:val="20"/>
              </w:rPr>
            </w:pPr>
            <w:r>
              <w:rPr>
                <w:rFonts w:hint="eastAsia" w:ascii="仿宋" w:hAnsi="仿宋" w:eastAsia="仿宋" w:cs="仿宋"/>
              </w:rPr>
              <w:t>公开09表</w:t>
            </w:r>
          </w:p>
        </w:tc>
      </w:tr>
      <w:tr>
        <w:tblPrEx>
          <w:tblCellMar>
            <w:top w:w="55" w:type="dxa"/>
            <w:left w:w="55" w:type="dxa"/>
            <w:bottom w:w="55" w:type="dxa"/>
            <w:right w:w="55" w:type="dxa"/>
          </w:tblCellMar>
        </w:tblPrEx>
        <w:trPr>
          <w:trHeight w:val="103" w:hRule="atLeast"/>
        </w:trPr>
        <w:tc>
          <w:tcPr>
            <w:tcW w:w="8212" w:type="dxa"/>
            <w:gridSpan w:val="8"/>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南通市人力资源服务中心</w:t>
            </w:r>
          </w:p>
        </w:tc>
        <w:tc>
          <w:tcPr>
            <w:tcW w:w="8274" w:type="dxa"/>
            <w:gridSpan w:val="8"/>
            <w:tcBorders>
              <w:bottom w:val="single" w:color="auto" w:sz="4" w:space="0"/>
            </w:tcBorders>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71" w:hRule="atLeast"/>
        </w:trPr>
        <w:tc>
          <w:tcPr>
            <w:tcW w:w="8212" w:type="dxa"/>
            <w:gridSpan w:val="8"/>
            <w:tcBorders>
              <w:top w:val="single" w:color="auto" w:sz="4" w:space="0"/>
              <w:left w:val="single" w:color="auto" w:sz="4" w:space="0"/>
              <w:bottom w:val="single" w:color="auto" w:sz="4" w:space="0"/>
              <w:right w:val="single" w:color="auto" w:sz="4" w:space="0"/>
            </w:tcBorders>
          </w:tcPr>
          <w:p>
            <w:pPr>
              <w:pStyle w:val="22"/>
              <w:widowControl w:val="0"/>
              <w:jc w:val="center"/>
              <w:rPr>
                <w:rFonts w:hint="eastAsia" w:ascii="仿宋" w:hAnsi="仿宋" w:eastAsia="仿宋" w:cs="仿宋"/>
              </w:rPr>
            </w:pPr>
            <w:r>
              <w:rPr>
                <w:rFonts w:hint="eastAsia" w:ascii="仿宋" w:hAnsi="仿宋" w:eastAsia="仿宋" w:cs="仿宋"/>
                <w:lang w:val="en-US" w:eastAsia="zh-CN"/>
              </w:rPr>
              <w:t>预算数</w:t>
            </w:r>
          </w:p>
        </w:tc>
        <w:tc>
          <w:tcPr>
            <w:tcW w:w="8274" w:type="dxa"/>
            <w:gridSpan w:val="8"/>
            <w:tcBorders>
              <w:top w:val="single" w:color="auto" w:sz="4" w:space="0"/>
              <w:left w:val="single" w:color="auto" w:sz="4" w:space="0"/>
              <w:bottom w:val="single" w:color="auto" w:sz="4" w:space="0"/>
              <w:right w:val="single" w:color="auto" w:sz="4" w:space="0"/>
            </w:tcBorders>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决算数</w:t>
            </w:r>
          </w:p>
        </w:tc>
      </w:tr>
      <w:tr>
        <w:tblPrEx>
          <w:tblCellMar>
            <w:top w:w="55" w:type="dxa"/>
            <w:left w:w="55" w:type="dxa"/>
            <w:bottom w:w="55" w:type="dxa"/>
            <w:right w:w="55" w:type="dxa"/>
          </w:tblCellMar>
        </w:tblPrEx>
        <w:trPr>
          <w:trHeight w:val="179" w:hRule="atLeast"/>
        </w:trPr>
        <w:tc>
          <w:tcPr>
            <w:tcW w:w="6159" w:type="dxa"/>
            <w:gridSpan w:val="6"/>
            <w:tcBorders>
              <w:top w:val="single" w:color="auto"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w:t>
            </w:r>
          </w:p>
        </w:tc>
        <w:tc>
          <w:tcPr>
            <w:tcW w:w="1043" w:type="dxa"/>
            <w:vMerge w:val="restart"/>
            <w:tcBorders>
              <w:top w:val="single" w:color="auto"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会议费</w:t>
            </w:r>
          </w:p>
        </w:tc>
        <w:tc>
          <w:tcPr>
            <w:tcW w:w="1010"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培训费</w:t>
            </w:r>
          </w:p>
        </w:tc>
        <w:tc>
          <w:tcPr>
            <w:tcW w:w="6190" w:type="dxa"/>
            <w:gridSpan w:val="6"/>
            <w:tcBorders>
              <w:top w:val="single" w:color="auto"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w:t>
            </w:r>
          </w:p>
        </w:tc>
        <w:tc>
          <w:tcPr>
            <w:tcW w:w="1057"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会议费</w:t>
            </w:r>
          </w:p>
        </w:tc>
        <w:tc>
          <w:tcPr>
            <w:tcW w:w="1027"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培训费</w:t>
            </w:r>
          </w:p>
        </w:tc>
      </w:tr>
      <w:tr>
        <w:tblPrEx>
          <w:tblCellMar>
            <w:top w:w="55" w:type="dxa"/>
            <w:left w:w="55" w:type="dxa"/>
            <w:bottom w:w="55" w:type="dxa"/>
            <w:right w:w="55" w:type="dxa"/>
          </w:tblCellMar>
        </w:tblPrEx>
        <w:trPr>
          <w:trHeight w:val="297" w:hRule="atLeast"/>
        </w:trPr>
        <w:tc>
          <w:tcPr>
            <w:tcW w:w="1044"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1042"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3047" w:type="dxa"/>
            <w:gridSpan w:val="3"/>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公务用车购置及运行费</w:t>
            </w:r>
          </w:p>
        </w:tc>
        <w:tc>
          <w:tcPr>
            <w:tcW w:w="1026"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w:t>
            </w:r>
          </w:p>
          <w:p>
            <w:pPr>
              <w:pStyle w:val="22"/>
              <w:widowControl w:val="0"/>
              <w:jc w:val="center"/>
              <w:rPr>
                <w:rFonts w:hint="eastAsia" w:ascii="仿宋" w:hAnsi="仿宋" w:eastAsia="仿宋" w:cs="仿宋"/>
              </w:rPr>
            </w:pPr>
            <w:r>
              <w:rPr>
                <w:rFonts w:hint="eastAsia" w:ascii="仿宋" w:hAnsi="仿宋" w:eastAsia="仿宋" w:cs="仿宋"/>
              </w:rPr>
              <w:t>接待费</w:t>
            </w:r>
          </w:p>
        </w:tc>
        <w:tc>
          <w:tcPr>
            <w:tcW w:w="1043" w:type="dxa"/>
            <w:vMerge w:val="continue"/>
            <w:tcBorders>
              <w:left w:val="single" w:color="000000" w:sz="4" w:space="0"/>
              <w:bottom w:val="single" w:color="000000" w:sz="4" w:space="0"/>
            </w:tcBorders>
            <w:vAlign w:val="center"/>
          </w:tcPr>
          <w:p>
            <w:pPr>
              <w:widowControl w:val="0"/>
              <w:jc w:val="center"/>
              <w:rPr>
                <w:rFonts w:hint="eastAsia" w:ascii="仿宋" w:hAnsi="仿宋" w:eastAsia="仿宋" w:cs="仿宋"/>
                <w:sz w:val="20"/>
              </w:rPr>
            </w:pPr>
          </w:p>
        </w:tc>
        <w:tc>
          <w:tcPr>
            <w:tcW w:w="1010"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c>
          <w:tcPr>
            <w:tcW w:w="1058"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“三公”经费合计</w:t>
            </w:r>
          </w:p>
        </w:tc>
        <w:tc>
          <w:tcPr>
            <w:tcW w:w="1010"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因公出国（境）费</w:t>
            </w:r>
          </w:p>
        </w:tc>
        <w:tc>
          <w:tcPr>
            <w:tcW w:w="3079" w:type="dxa"/>
            <w:gridSpan w:val="3"/>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公务用车购置及运行费</w:t>
            </w:r>
          </w:p>
        </w:tc>
        <w:tc>
          <w:tcPr>
            <w:tcW w:w="1043"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w:t>
            </w:r>
          </w:p>
          <w:p>
            <w:pPr>
              <w:pStyle w:val="22"/>
              <w:widowControl w:val="0"/>
              <w:jc w:val="center"/>
              <w:rPr>
                <w:rFonts w:hint="eastAsia" w:ascii="仿宋" w:hAnsi="仿宋" w:eastAsia="仿宋" w:cs="仿宋"/>
                <w:sz w:val="20"/>
              </w:rPr>
            </w:pPr>
            <w:r>
              <w:rPr>
                <w:rFonts w:hint="eastAsia" w:ascii="仿宋" w:hAnsi="仿宋" w:eastAsia="仿宋" w:cs="仿宋"/>
              </w:rPr>
              <w:t>接待费</w:t>
            </w:r>
          </w:p>
        </w:tc>
        <w:tc>
          <w:tcPr>
            <w:tcW w:w="1057"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c>
          <w:tcPr>
            <w:tcW w:w="1027"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r>
      <w:tr>
        <w:tblPrEx>
          <w:tblCellMar>
            <w:top w:w="55" w:type="dxa"/>
            <w:left w:w="55" w:type="dxa"/>
            <w:bottom w:w="55" w:type="dxa"/>
            <w:right w:w="55" w:type="dxa"/>
          </w:tblCellMar>
        </w:tblPrEx>
        <w:trPr>
          <w:trHeight w:val="621" w:hRule="exact"/>
        </w:trPr>
        <w:tc>
          <w:tcPr>
            <w:tcW w:w="1044"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42"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2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ascii="仿宋" w:hAnsi="仿宋" w:eastAsia="仿宋" w:cs="仿宋"/>
              </w:rPr>
              <w:t>小计</w:t>
            </w:r>
          </w:p>
        </w:tc>
        <w:tc>
          <w:tcPr>
            <w:tcW w:w="1029"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99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公务用车运行费</w:t>
            </w:r>
          </w:p>
        </w:tc>
        <w:tc>
          <w:tcPr>
            <w:tcW w:w="1026"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43"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10"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sz w:val="2"/>
                <w:szCs w:val="2"/>
              </w:rPr>
            </w:pPr>
          </w:p>
        </w:tc>
        <w:tc>
          <w:tcPr>
            <w:tcW w:w="1058"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10"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94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ascii="仿宋" w:hAnsi="仿宋" w:eastAsia="仿宋" w:cs="仿宋"/>
              </w:rPr>
              <w:t>小计</w:t>
            </w:r>
          </w:p>
        </w:tc>
        <w:tc>
          <w:tcPr>
            <w:tcW w:w="1089"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公务用车购置费</w:t>
            </w:r>
          </w:p>
        </w:tc>
        <w:tc>
          <w:tcPr>
            <w:tcW w:w="1042"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公务用车运行费</w:t>
            </w:r>
          </w:p>
        </w:tc>
        <w:tc>
          <w:tcPr>
            <w:tcW w:w="1043"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57"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27"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380" w:hRule="atLeast"/>
        </w:trPr>
        <w:tc>
          <w:tcPr>
            <w:tcW w:w="104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4.12</w:t>
            </w:r>
          </w:p>
        </w:tc>
        <w:tc>
          <w:tcPr>
            <w:tcW w:w="1042"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2.50</w:t>
            </w:r>
          </w:p>
        </w:tc>
        <w:tc>
          <w:tcPr>
            <w:tcW w:w="102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99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2.50</w:t>
            </w:r>
          </w:p>
        </w:tc>
        <w:tc>
          <w:tcPr>
            <w:tcW w:w="1026"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1.62</w:t>
            </w:r>
          </w:p>
        </w:tc>
        <w:tc>
          <w:tcPr>
            <w:tcW w:w="104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1.62</w:t>
            </w:r>
          </w:p>
        </w:tc>
        <w:tc>
          <w:tcPr>
            <w:tcW w:w="101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6.24</w:t>
            </w:r>
          </w:p>
        </w:tc>
        <w:tc>
          <w:tcPr>
            <w:tcW w:w="105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2.35</w:t>
            </w:r>
          </w:p>
        </w:tc>
        <w:tc>
          <w:tcPr>
            <w:tcW w:w="101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94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2.35</w:t>
            </w:r>
          </w:p>
        </w:tc>
        <w:tc>
          <w:tcPr>
            <w:tcW w:w="1089"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42"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2.35</w:t>
            </w:r>
          </w:p>
        </w:tc>
        <w:tc>
          <w:tcPr>
            <w:tcW w:w="104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3.56</w:t>
            </w:r>
          </w:p>
        </w:tc>
      </w:tr>
    </w:tbl>
    <w:p>
      <w:pPr>
        <w:spacing w:before="30" w:after="33"/>
        <w:ind w:left="220" w:leftChars="100" w:firstLine="0" w:firstLineChars="0"/>
        <w:rPr>
          <w:rFonts w:hint="eastAsia" w:ascii="仿宋" w:hAnsi="仿宋" w:eastAsia="仿宋" w:cs="仿宋"/>
          <w:sz w:val="22"/>
          <w:szCs w:val="22"/>
        </w:rPr>
      </w:pPr>
      <w:r>
        <w:rPr>
          <w:rFonts w:hint="eastAsia" w:ascii="仿宋" w:hAnsi="仿宋" w:eastAsia="仿宋" w:cs="仿宋"/>
          <w:sz w:val="22"/>
          <w:szCs w:val="22"/>
        </w:rPr>
        <w:t>相关统计数：</w:t>
      </w:r>
    </w:p>
    <w:tbl>
      <w:tblPr>
        <w:tblStyle w:val="12"/>
        <w:tblW w:w="11798" w:type="dxa"/>
        <w:tblInd w:w="62" w:type="dxa"/>
        <w:tblLayout w:type="fixed"/>
        <w:tblCellMar>
          <w:top w:w="55" w:type="dxa"/>
          <w:left w:w="55" w:type="dxa"/>
          <w:bottom w:w="55" w:type="dxa"/>
          <w:right w:w="55" w:type="dxa"/>
        </w:tblCellMar>
      </w:tblPr>
      <w:tblGrid>
        <w:gridCol w:w="4028"/>
        <w:gridCol w:w="1976"/>
        <w:gridCol w:w="3908"/>
        <w:gridCol w:w="1886"/>
      </w:tblGrid>
      <w:tr>
        <w:trPr>
          <w:cantSplit/>
          <w:trHeight w:val="214"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ascii="仿宋" w:hAnsi="仿宋" w:eastAsia="仿宋" w:cs="仿宋"/>
                <w:sz w:val="22"/>
              </w:rPr>
              <w:t>项目</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统计数</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项目</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统计数</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因公出国（境）团组数(个)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因公出国（境）人次数(人)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公务用车购置数(辆)</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公务用车保有量(辆)</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国内公务接待批次(个)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国内公务接待人次(人)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国（境）外公务接待批次(个)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国（境）外公务接待人次(人)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召开会议次数(个)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参加会议人次(人)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组织培训次数(个)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参加培训人次(人)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36</w:t>
            </w:r>
          </w:p>
        </w:tc>
      </w:tr>
    </w:tbl>
    <w:p>
      <w:pPr>
        <w:widowControl w:val="0"/>
        <w:suppressAutoHyphens/>
        <w:bidi w:val="0"/>
        <w:spacing w:before="0" w:after="0"/>
        <w:ind w:left="0" w:leftChars="0" w:right="-2"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w:t>
      </w:r>
      <w:r>
        <w:rPr>
          <w:rFonts w:hint="eastAsia" w:ascii="仿宋" w:hAnsi="仿宋" w:eastAsia="仿宋" w:cs="仿宋"/>
          <w:b w:val="0"/>
          <w:bCs w:val="0"/>
          <w:sz w:val="22"/>
          <w:szCs w:val="22"/>
          <w:lang w:val="en-US" w:eastAsia="zh-CN"/>
        </w:rPr>
        <w:t>本表反映本年度财政拨款“三公”经费、会议费和培训费支出情况。其中，预算数为全年预算数，反映按规定程序调整后的预算数；决算数是包括当年财政拨款和以前年度结转资金安排的实际支出。本表金额单位转换时可能存在尾数误差</w:t>
      </w:r>
      <w:r>
        <w:rPr>
          <w:rFonts w:hint="eastAsia" w:ascii="仿宋" w:hAnsi="仿宋" w:eastAsia="仿宋" w:cs="仿宋"/>
          <w:b w:val="0"/>
          <w:bCs w:val="0"/>
          <w:sz w:val="22"/>
          <w:szCs w:val="22"/>
        </w:rPr>
        <w:t>。</w:t>
      </w:r>
    </w:p>
    <w:p>
      <w:pPr>
        <w:widowControl w:val="0"/>
        <w:suppressAutoHyphens/>
        <w:bidi w:val="0"/>
        <w:spacing w:before="0" w:after="0"/>
        <w:ind w:left="227" w:right="0" w:firstLine="220" w:firstLineChars="100"/>
        <w:jc w:val="both"/>
        <w:rPr>
          <w:rFonts w:hint="eastAsia" w:ascii="仿宋" w:hAnsi="仿宋" w:eastAsia="仿宋" w:cs="仿宋"/>
          <w:b w:val="0"/>
          <w:bCs w:val="0"/>
          <w:sz w:val="22"/>
          <w:szCs w:val="22"/>
        </w:rPr>
        <w:sectPr>
          <w:footerReference r:id="rId13" w:type="default"/>
          <w:pgSz w:w="16838" w:h="11906" w:orient="landscape"/>
          <w:pgMar w:top="720" w:right="153" w:bottom="720" w:left="153"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00" w:type="dxa"/>
        <w:tblInd w:w="62" w:type="dxa"/>
        <w:tblLayout w:type="fixed"/>
        <w:tblCellMar>
          <w:top w:w="55" w:type="dxa"/>
          <w:left w:w="55" w:type="dxa"/>
          <w:bottom w:w="55" w:type="dxa"/>
          <w:right w:w="55" w:type="dxa"/>
        </w:tblCellMar>
      </w:tblPr>
      <w:tblGrid>
        <w:gridCol w:w="1431"/>
        <w:gridCol w:w="6995"/>
        <w:gridCol w:w="2684"/>
        <w:gridCol w:w="2432"/>
        <w:gridCol w:w="1858"/>
      </w:tblGrid>
      <w:tr>
        <w:tblPrEx>
          <w:tblCellMar>
            <w:top w:w="55" w:type="dxa"/>
            <w:left w:w="55" w:type="dxa"/>
            <w:bottom w:w="55" w:type="dxa"/>
            <w:right w:w="55" w:type="dxa"/>
          </w:tblCellMar>
        </w:tblPrEx>
        <w:trPr>
          <w:trHeight w:val="395" w:hRule="atLeast"/>
        </w:trPr>
        <w:tc>
          <w:tcPr>
            <w:tcW w:w="15400"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政府性基金预算支出决算表</w:t>
            </w:r>
          </w:p>
        </w:tc>
      </w:tr>
      <w:tr>
        <w:tblPrEx>
          <w:tblCellMar>
            <w:top w:w="55" w:type="dxa"/>
            <w:left w:w="55" w:type="dxa"/>
            <w:bottom w:w="55" w:type="dxa"/>
            <w:right w:w="55" w:type="dxa"/>
          </w:tblCellMar>
        </w:tblPrEx>
        <w:trPr>
          <w:trHeight w:val="323" w:hRule="atLeast"/>
        </w:trPr>
        <w:tc>
          <w:tcPr>
            <w:tcW w:w="8426" w:type="dxa"/>
            <w:gridSpan w:val="2"/>
          </w:tcPr>
          <w:p>
            <w:pPr>
              <w:pStyle w:val="22"/>
              <w:widowControl w:val="0"/>
              <w:rPr>
                <w:rFonts w:hint="eastAsia" w:ascii="仿宋" w:hAnsi="仿宋" w:eastAsia="仿宋" w:cs="仿宋"/>
                <w:sz w:val="20"/>
              </w:rPr>
            </w:pPr>
          </w:p>
        </w:tc>
        <w:tc>
          <w:tcPr>
            <w:tcW w:w="2684" w:type="dxa"/>
          </w:tcPr>
          <w:p>
            <w:pPr>
              <w:pStyle w:val="22"/>
              <w:widowControl w:val="0"/>
              <w:rPr>
                <w:rFonts w:hint="eastAsia" w:ascii="仿宋" w:hAnsi="仿宋" w:eastAsia="仿宋" w:cs="仿宋"/>
                <w:sz w:val="27"/>
              </w:rPr>
            </w:pPr>
          </w:p>
        </w:tc>
        <w:tc>
          <w:tcPr>
            <w:tcW w:w="2432" w:type="dxa"/>
          </w:tcPr>
          <w:p>
            <w:pPr>
              <w:pStyle w:val="22"/>
              <w:widowControl w:val="0"/>
              <w:rPr>
                <w:rFonts w:hint="eastAsia" w:ascii="仿宋" w:hAnsi="仿宋" w:eastAsia="仿宋" w:cs="仿宋"/>
                <w:sz w:val="20"/>
              </w:rPr>
            </w:pPr>
          </w:p>
        </w:tc>
        <w:tc>
          <w:tcPr>
            <w:tcW w:w="1858"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公开10表</w:t>
            </w:r>
          </w:p>
        </w:tc>
      </w:tr>
      <w:tr>
        <w:tblPrEx>
          <w:tblCellMar>
            <w:top w:w="55" w:type="dxa"/>
            <w:left w:w="55" w:type="dxa"/>
            <w:bottom w:w="55" w:type="dxa"/>
            <w:right w:w="55" w:type="dxa"/>
          </w:tblCellMar>
        </w:tblPrEx>
        <w:trPr>
          <w:trHeight w:val="152" w:hRule="atLeast"/>
        </w:trPr>
        <w:tc>
          <w:tcPr>
            <w:tcW w:w="13542"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南通市人力资源服务中心</w:t>
            </w:r>
          </w:p>
        </w:tc>
        <w:tc>
          <w:tcPr>
            <w:tcW w:w="1858"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67" w:hRule="atLeast"/>
        </w:trPr>
        <w:tc>
          <w:tcPr>
            <w:tcW w:w="8426"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2684"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2432"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1858"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27" w:hRule="atLeast"/>
        </w:trPr>
        <w:tc>
          <w:tcPr>
            <w:tcW w:w="14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699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684"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2432"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858"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55" w:type="dxa"/>
            <w:left w:w="55" w:type="dxa"/>
            <w:bottom w:w="55" w:type="dxa"/>
            <w:right w:w="55" w:type="dxa"/>
          </w:tblCellMar>
        </w:tblPrEx>
        <w:trPr>
          <w:trHeight w:val="275" w:hRule="atLeast"/>
        </w:trPr>
        <w:tc>
          <w:tcPr>
            <w:tcW w:w="8426"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268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1</w:t>
            </w:r>
          </w:p>
        </w:tc>
        <w:tc>
          <w:tcPr>
            <w:tcW w:w="243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1858" w:type="dxa"/>
            <w:tcBorders>
              <w:left w:val="single" w:color="000000" w:sz="4" w:space="0"/>
              <w:bottom w:val="single" w:color="000000" w:sz="4" w:space="0"/>
              <w:right w:val="single" w:color="000000"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3</w:t>
            </w:r>
          </w:p>
        </w:tc>
      </w:tr>
      <w:tr>
        <w:tblPrEx>
          <w:tblCellMar>
            <w:top w:w="55" w:type="dxa"/>
            <w:left w:w="55" w:type="dxa"/>
            <w:bottom w:w="55" w:type="dxa"/>
            <w:right w:w="55" w:type="dxa"/>
          </w:tblCellMar>
        </w:tblPrEx>
        <w:trPr>
          <w:trHeight w:val="389" w:hRule="exact"/>
        </w:trPr>
        <w:tc>
          <w:tcPr>
            <w:tcW w:w="8426"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68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p>
        </w:tc>
        <w:tc>
          <w:tcPr>
            <w:tcW w:w="2432"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p>
        </w:tc>
        <w:tc>
          <w:tcPr>
            <w:tcW w:w="185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r>
    </w:tbl>
    <w:p>
      <w:pPr>
        <w:spacing w:before="25" w:after="0"/>
        <w:ind w:left="0" w:lef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注：本表反映本年度政府性基金预算财政拨款支出情况。</w:t>
      </w:r>
    </w:p>
    <w:p>
      <w:pPr>
        <w:numPr>
          <w:ilvl w:val="0"/>
          <w:numId w:val="0"/>
        </w:numPr>
        <w:spacing w:before="25" w:after="0"/>
        <w:ind w:left="440" w:leftChars="200" w:firstLine="0" w:firstLineChars="0"/>
        <w:jc w:val="both"/>
        <w:rPr>
          <w:rFonts w:hint="default" w:ascii="仿宋" w:hAnsi="仿宋" w:eastAsia="仿宋" w:cs="仿宋"/>
          <w:b w:val="0"/>
          <w:bCs w:val="0"/>
          <w:sz w:val="22"/>
          <w:szCs w:val="22"/>
          <w:lang w:val="en-US" w:eastAsia="zh-CN"/>
        </w:rPr>
      </w:pPr>
      <w:r>
        <w:rPr>
          <w:rFonts w:ascii="仿宋" w:hAnsi="仿宋" w:eastAsia="仿宋" w:cs="仿宋"/>
          <w:sz w:val="22"/>
        </w:rPr>
        <w:t>本单位无政府性基金预算收入支出决算，故本表为空。</w:t>
      </w:r>
    </w:p>
    <w:p>
      <w:pPr>
        <w:widowControl w:val="0"/>
        <w:numPr>
          <w:ilvl w:val="0"/>
          <w:numId w:val="0"/>
        </w:numPr>
        <w:suppressAutoHyphens/>
        <w:bidi w:val="0"/>
        <w:spacing w:before="25" w:after="0"/>
        <w:jc w:val="both"/>
        <w:rPr>
          <w:rFonts w:hint="default" w:ascii="仿宋" w:hAnsi="仿宋" w:eastAsia="仿宋" w:cs="仿宋"/>
          <w:b w:val="0"/>
          <w:bCs w:val="0"/>
          <w:sz w:val="22"/>
          <w:szCs w:val="22"/>
          <w:lang w:val="en-US" w:eastAsia="zh-CN"/>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00" w:type="dxa"/>
        <w:tblInd w:w="47" w:type="dxa"/>
        <w:tblLayout w:type="fixed"/>
        <w:tblCellMar>
          <w:top w:w="55" w:type="dxa"/>
          <w:left w:w="55" w:type="dxa"/>
          <w:bottom w:w="55" w:type="dxa"/>
          <w:right w:w="55" w:type="dxa"/>
        </w:tblCellMar>
      </w:tblPr>
      <w:tblGrid>
        <w:gridCol w:w="1462"/>
        <w:gridCol w:w="7058"/>
        <w:gridCol w:w="2510"/>
        <w:gridCol w:w="2309"/>
        <w:gridCol w:w="2061"/>
      </w:tblGrid>
      <w:tr>
        <w:tblPrEx>
          <w:tblCellMar>
            <w:top w:w="55" w:type="dxa"/>
            <w:left w:w="55" w:type="dxa"/>
            <w:bottom w:w="55" w:type="dxa"/>
            <w:right w:w="55" w:type="dxa"/>
          </w:tblCellMar>
        </w:tblPrEx>
        <w:trPr>
          <w:trHeight w:val="395" w:hRule="atLeast"/>
        </w:trPr>
        <w:tc>
          <w:tcPr>
            <w:tcW w:w="15400"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国有资本经营预算支出决算表</w:t>
            </w:r>
          </w:p>
        </w:tc>
      </w:tr>
      <w:tr>
        <w:tblPrEx>
          <w:tblCellMar>
            <w:top w:w="55" w:type="dxa"/>
            <w:left w:w="55" w:type="dxa"/>
            <w:bottom w:w="55" w:type="dxa"/>
            <w:right w:w="55" w:type="dxa"/>
          </w:tblCellMar>
        </w:tblPrEx>
        <w:trPr>
          <w:trHeight w:val="323" w:hRule="atLeast"/>
        </w:trPr>
        <w:tc>
          <w:tcPr>
            <w:tcW w:w="8520" w:type="dxa"/>
            <w:gridSpan w:val="2"/>
          </w:tcPr>
          <w:p>
            <w:pPr>
              <w:pStyle w:val="22"/>
              <w:widowControl w:val="0"/>
              <w:rPr>
                <w:rFonts w:hint="eastAsia" w:ascii="仿宋" w:hAnsi="仿宋" w:eastAsia="仿宋" w:cs="仿宋"/>
                <w:sz w:val="20"/>
              </w:rPr>
            </w:pPr>
          </w:p>
        </w:tc>
        <w:tc>
          <w:tcPr>
            <w:tcW w:w="2510" w:type="dxa"/>
          </w:tcPr>
          <w:p>
            <w:pPr>
              <w:pStyle w:val="22"/>
              <w:widowControl w:val="0"/>
              <w:rPr>
                <w:rFonts w:hint="eastAsia" w:ascii="仿宋" w:hAnsi="仿宋" w:eastAsia="仿宋" w:cs="仿宋"/>
                <w:sz w:val="27"/>
              </w:rPr>
            </w:pPr>
          </w:p>
        </w:tc>
        <w:tc>
          <w:tcPr>
            <w:tcW w:w="2309" w:type="dxa"/>
          </w:tcPr>
          <w:p>
            <w:pPr>
              <w:pStyle w:val="22"/>
              <w:widowControl w:val="0"/>
              <w:rPr>
                <w:rFonts w:hint="eastAsia" w:ascii="仿宋" w:hAnsi="仿宋" w:eastAsia="仿宋" w:cs="仿宋"/>
                <w:sz w:val="20"/>
              </w:rPr>
            </w:pPr>
          </w:p>
        </w:tc>
        <w:tc>
          <w:tcPr>
            <w:tcW w:w="2061"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公开1</w:t>
            </w:r>
            <w:r>
              <w:rPr>
                <w:rFonts w:hint="eastAsia" w:ascii="仿宋" w:hAnsi="仿宋" w:eastAsia="仿宋" w:cs="仿宋"/>
                <w:lang w:val="en-US" w:eastAsia="zh-CN"/>
              </w:rPr>
              <w:t>1</w:t>
            </w:r>
            <w:r>
              <w:rPr>
                <w:rFonts w:hint="eastAsia" w:ascii="仿宋" w:hAnsi="仿宋" w:eastAsia="仿宋" w:cs="仿宋"/>
              </w:rPr>
              <w:t>表</w:t>
            </w:r>
          </w:p>
        </w:tc>
      </w:tr>
      <w:tr>
        <w:tblPrEx>
          <w:tblCellMar>
            <w:top w:w="55" w:type="dxa"/>
            <w:left w:w="55" w:type="dxa"/>
            <w:bottom w:w="55" w:type="dxa"/>
            <w:right w:w="55" w:type="dxa"/>
          </w:tblCellMar>
        </w:tblPrEx>
        <w:trPr>
          <w:trHeight w:val="152" w:hRule="atLeast"/>
        </w:trPr>
        <w:tc>
          <w:tcPr>
            <w:tcW w:w="13339"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南通市人力资源服务中心</w:t>
            </w:r>
          </w:p>
        </w:tc>
        <w:tc>
          <w:tcPr>
            <w:tcW w:w="2061"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67" w:hRule="atLeast"/>
        </w:trPr>
        <w:tc>
          <w:tcPr>
            <w:tcW w:w="8520"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2510"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2309"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061"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27" w:hRule="atLeast"/>
        </w:trPr>
        <w:tc>
          <w:tcPr>
            <w:tcW w:w="146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705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510"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2309"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2061"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55" w:type="dxa"/>
            <w:left w:w="55" w:type="dxa"/>
            <w:bottom w:w="55" w:type="dxa"/>
            <w:right w:w="55" w:type="dxa"/>
          </w:tblCellMar>
        </w:tblPrEx>
        <w:trPr>
          <w:trHeight w:val="275" w:hRule="atLeast"/>
        </w:trPr>
        <w:tc>
          <w:tcPr>
            <w:tcW w:w="852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251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1</w:t>
            </w:r>
          </w:p>
        </w:tc>
        <w:tc>
          <w:tcPr>
            <w:tcW w:w="2309"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2061" w:type="dxa"/>
            <w:tcBorders>
              <w:left w:val="single" w:color="000000" w:sz="4" w:space="0"/>
              <w:bottom w:val="single" w:color="000000" w:sz="4" w:space="0"/>
              <w:right w:val="single" w:color="000000"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3</w:t>
            </w:r>
          </w:p>
        </w:tc>
      </w:tr>
      <w:tr>
        <w:tblPrEx>
          <w:tblCellMar>
            <w:top w:w="55" w:type="dxa"/>
            <w:left w:w="55" w:type="dxa"/>
            <w:bottom w:w="55" w:type="dxa"/>
            <w:right w:w="55" w:type="dxa"/>
          </w:tblCellMar>
        </w:tblPrEx>
        <w:trPr>
          <w:trHeight w:val="389" w:hRule="exact"/>
        </w:trPr>
        <w:tc>
          <w:tcPr>
            <w:tcW w:w="852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51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p>
        </w:tc>
        <w:tc>
          <w:tcPr>
            <w:tcW w:w="230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p>
        </w:tc>
        <w:tc>
          <w:tcPr>
            <w:tcW w:w="2061"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53" w:hRule="atLeast"/>
        </w:trPr>
        <w:tc>
          <w:tcPr>
            <w:tcW w:w="146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p>
        </w:tc>
        <w:tc>
          <w:tcPr>
            <w:tcW w:w="705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2061"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53" w:hRule="atLeast"/>
        </w:trPr>
        <w:tc>
          <w:tcPr>
            <w:tcW w:w="146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p>
        </w:tc>
        <w:tc>
          <w:tcPr>
            <w:tcW w:w="705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2061"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r>
    </w:tbl>
    <w:p>
      <w:pPr>
        <w:bidi w:val="0"/>
        <w:ind w:left="0" w:lef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注：本表反映本年度国有资本经营预算财政拨款支出情况。</w:t>
      </w:r>
    </w:p>
    <w:p>
      <w:pPr>
        <w:numPr>
          <w:ilvl w:val="0"/>
          <w:numId w:val="0"/>
        </w:numPr>
        <w:bidi w:val="0"/>
        <w:ind w:left="440" w:leftChars="200" w:firstLine="0" w:firstLineChars="0"/>
        <w:jc w:val="both"/>
        <w:rPr>
          <w:rFonts w:hint="default" w:ascii="仿宋" w:hAnsi="仿宋" w:eastAsia="仿宋" w:cs="仿宋"/>
          <w:b w:val="0"/>
          <w:bCs w:val="0"/>
          <w:sz w:val="22"/>
          <w:szCs w:val="22"/>
          <w:lang w:val="en-US" w:eastAsia="zh-CN"/>
        </w:rPr>
      </w:pPr>
      <w:r>
        <w:rPr>
          <w:rFonts w:ascii="仿宋" w:hAnsi="仿宋" w:eastAsia="仿宋" w:cs="仿宋"/>
          <w:sz w:val="22"/>
        </w:rPr>
        <w:t>本单位无</w:t>
      </w:r>
      <w:r>
        <w:rPr>
          <w:rFonts w:hint="eastAsia" w:ascii="仿宋" w:hAnsi="仿宋" w:eastAsia="仿宋" w:cs="仿宋"/>
          <w:b w:val="0"/>
          <w:bCs w:val="0"/>
          <w:sz w:val="22"/>
          <w:szCs w:val="22"/>
        </w:rPr>
        <w:t>国有资本经营预算支出</w:t>
      </w:r>
      <w:r>
        <w:rPr>
          <w:rFonts w:hint="eastAsia" w:ascii="仿宋" w:hAnsi="仿宋" w:eastAsia="仿宋" w:cs="仿宋"/>
          <w:b w:val="0"/>
          <w:bCs w:val="0"/>
          <w:sz w:val="22"/>
          <w:szCs w:val="22"/>
          <w:lang w:val="en-US" w:eastAsia="zh-CN"/>
        </w:rPr>
        <w:t>决算，故本表为空。</w:t>
      </w:r>
    </w:p>
    <w:p>
      <w:pPr>
        <w:spacing w:before="25" w:after="0"/>
        <w:ind w:left="-220" w:leftChars="-100" w:firstLine="0" w:firstLineChars="0"/>
        <w:jc w:val="both"/>
        <w:rPr>
          <w:rFonts w:hint="default" w:ascii="仿宋" w:hAnsi="仿宋" w:eastAsia="仿宋" w:cs="仿宋"/>
          <w:b w:val="0"/>
          <w:bCs w:val="0"/>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66" w:type="dxa"/>
        <w:tblInd w:w="53" w:type="dxa"/>
        <w:tblLayout w:type="fixed"/>
        <w:tblCellMar>
          <w:top w:w="55" w:type="dxa"/>
          <w:left w:w="55" w:type="dxa"/>
          <w:bottom w:w="55" w:type="dxa"/>
          <w:right w:w="55" w:type="dxa"/>
        </w:tblCellMar>
      </w:tblPr>
      <w:tblGrid>
        <w:gridCol w:w="1642"/>
        <w:gridCol w:w="4990"/>
        <w:gridCol w:w="3834"/>
      </w:tblGrid>
      <w:tr>
        <w:tblPrEx>
          <w:tblCellMar>
            <w:top w:w="55" w:type="dxa"/>
            <w:left w:w="55" w:type="dxa"/>
            <w:bottom w:w="55" w:type="dxa"/>
            <w:right w:w="55" w:type="dxa"/>
          </w:tblCellMar>
        </w:tblPrEx>
        <w:trPr>
          <w:trHeight w:val="319" w:hRule="atLeast"/>
        </w:trPr>
        <w:tc>
          <w:tcPr>
            <w:tcW w:w="10466" w:type="dxa"/>
            <w:gridSpan w:val="3"/>
          </w:tcPr>
          <w:p>
            <w:pPr>
              <w:pStyle w:val="22"/>
              <w:widowControl w:val="0"/>
              <w:tabs>
                <w:tab w:val="left" w:pos="610"/>
              </w:tabs>
              <w:spacing w:before="28" w:after="0"/>
              <w:ind w:left="8" w:firstLine="0"/>
              <w:jc w:val="center"/>
              <w:rPr>
                <w:rFonts w:hint="eastAsia" w:ascii="仿宋" w:hAnsi="仿宋" w:eastAsia="仿宋" w:cs="仿宋"/>
                <w:b/>
                <w:bCs/>
                <w:sz w:val="44"/>
                <w:szCs w:val="44"/>
              </w:rPr>
            </w:pPr>
            <w:r>
              <w:rPr>
                <w:rFonts w:hint="eastAsia" w:cs="宋体"/>
                <w:b/>
                <w:bCs/>
                <w:color w:val="000000"/>
                <w:kern w:val="0"/>
                <w:sz w:val="36"/>
                <w:szCs w:val="36"/>
                <w:lang w:val="en-US" w:eastAsia="ar-SA" w:bidi="zh-CN"/>
              </w:rPr>
              <w:t>财政拨款</w:t>
            </w:r>
            <w:r>
              <w:rPr>
                <w:rFonts w:hint="eastAsia" w:ascii="宋体" w:hAnsi="宋体" w:eastAsia="宋体" w:cs="宋体"/>
                <w:b/>
                <w:bCs/>
                <w:color w:val="000000"/>
                <w:kern w:val="0"/>
                <w:sz w:val="36"/>
                <w:szCs w:val="36"/>
                <w:lang w:val="zh-CN" w:eastAsia="ar-SA" w:bidi="zh-CN"/>
              </w:rPr>
              <w:t>机关运行经费支出决算表</w:t>
            </w:r>
          </w:p>
        </w:tc>
      </w:tr>
      <w:tr>
        <w:tblPrEx>
          <w:tblCellMar>
            <w:top w:w="55" w:type="dxa"/>
            <w:left w:w="55" w:type="dxa"/>
            <w:bottom w:w="55" w:type="dxa"/>
            <w:right w:w="55" w:type="dxa"/>
          </w:tblCellMar>
        </w:tblPrEx>
        <w:trPr>
          <w:trHeight w:val="90" w:hRule="atLeast"/>
        </w:trPr>
        <w:tc>
          <w:tcPr>
            <w:tcW w:w="6632" w:type="dxa"/>
            <w:gridSpan w:val="2"/>
          </w:tcPr>
          <w:p>
            <w:pPr>
              <w:pStyle w:val="22"/>
              <w:widowControl w:val="0"/>
              <w:rPr>
                <w:rFonts w:hint="eastAsia" w:ascii="仿宋" w:hAnsi="仿宋" w:eastAsia="仿宋" w:cs="仿宋"/>
                <w:sz w:val="20"/>
              </w:rPr>
            </w:pPr>
          </w:p>
        </w:tc>
        <w:tc>
          <w:tcPr>
            <w:tcW w:w="3834" w:type="dxa"/>
            <w:vAlign w:val="center"/>
          </w:tcPr>
          <w:p>
            <w:pPr>
              <w:pStyle w:val="22"/>
              <w:widowControl w:val="0"/>
              <w:jc w:val="right"/>
              <w:rPr>
                <w:rFonts w:hint="eastAsia" w:ascii="仿宋" w:hAnsi="仿宋" w:eastAsia="仿宋" w:cs="仿宋"/>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6632" w:type="dxa"/>
            <w:gridSpan w:val="2"/>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南通市人力资源服务中心</w:t>
            </w:r>
          </w:p>
        </w:tc>
        <w:tc>
          <w:tcPr>
            <w:tcW w:w="3834"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319" w:hRule="atLeast"/>
        </w:trPr>
        <w:tc>
          <w:tcPr>
            <w:tcW w:w="6632"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3834"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机关运行经费支出决算</w:t>
            </w:r>
          </w:p>
        </w:tc>
      </w:tr>
      <w:tr>
        <w:tblPrEx>
          <w:tblCellMar>
            <w:top w:w="55" w:type="dxa"/>
            <w:left w:w="55" w:type="dxa"/>
            <w:bottom w:w="55" w:type="dxa"/>
            <w:right w:w="55" w:type="dxa"/>
          </w:tblCellMar>
        </w:tblPrEx>
        <w:trPr>
          <w:trHeight w:val="363" w:hRule="atLeast"/>
        </w:trPr>
        <w:tc>
          <w:tcPr>
            <w:tcW w:w="16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99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3834"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229" w:hRule="atLeast"/>
        </w:trPr>
        <w:tc>
          <w:tcPr>
            <w:tcW w:w="6632"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3834"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302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商品和服务支出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办公费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印刷费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咨询费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手续费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水费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电费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邮电费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取暖费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物业管理费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差旅费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因公出国（境）费用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维修（护）费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租赁费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会议费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培训费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公务接待费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专用材料费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被装购置费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专用燃料费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劳务费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委托业务费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工会经费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福利费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30231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公务用车运行维护费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30239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其他交通费用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30240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税金及附加费用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其他商品和服务支出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307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债务利息及费用支出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310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资本性支出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房屋建筑物购建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办公设备购置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专用设备购置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基础设施建设</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大型修缮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信息网络及软件购置更新</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物资储备</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土地补偿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安置补助</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地上附着物和青苗补偿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拆迁补偿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公务用车购置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其他交通工具购置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31021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文物和陈列品购置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31022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无形资产购置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其他资本性支出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312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对企业补助</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399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其他支出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bl>
    <w:p>
      <w:pPr>
        <w:spacing w:before="25" w:after="0"/>
        <w:ind w:left="0" w:leftChars="0" w:right="-92" w:rightChars="-42" w:firstLine="0" w:firstLineChars="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rPr>
        <w:t>注：“机关运行经费” 指行政单位（含参照公务员法管理的事业单位）使用</w:t>
      </w:r>
      <w:r>
        <w:rPr>
          <w:rFonts w:hint="eastAsia" w:ascii="仿宋" w:hAnsi="仿宋" w:eastAsia="仿宋" w:cs="仿宋"/>
          <w:b w:val="0"/>
          <w:bCs w:val="0"/>
          <w:sz w:val="22"/>
          <w:szCs w:val="22"/>
          <w:lang w:val="en-US" w:eastAsia="zh-CN"/>
        </w:rPr>
        <w:t>财政拨款</w:t>
      </w:r>
      <w:r>
        <w:rPr>
          <w:rFonts w:hint="eastAsia" w:ascii="仿宋" w:hAnsi="仿宋" w:eastAsia="仿宋" w:cs="仿宋"/>
          <w:b w:val="0"/>
          <w:bCs w:val="0"/>
          <w:sz w:val="22"/>
          <w:szCs w:val="22"/>
        </w:rPr>
        <w:t>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p>
    <w:p>
      <w:pPr>
        <w:numPr>
          <w:ilvl w:val="0"/>
          <w:numId w:val="0"/>
        </w:numPr>
        <w:tabs>
          <w:tab w:val="left" w:pos="440"/>
        </w:tabs>
        <w:spacing w:before="25" w:after="0"/>
        <w:ind w:left="440" w:leftChars="20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lang w:eastAsia="zh-CN"/>
        </w:rPr>
        <w:t>本</w:t>
      </w:r>
      <w:r>
        <w:rPr>
          <w:rFonts w:ascii="仿宋" w:hAnsi="仿宋" w:eastAsia="仿宋" w:cs="仿宋"/>
          <w:sz w:val="22"/>
        </w:rPr>
        <w:t>单位</w:t>
      </w:r>
      <w:r>
        <w:rPr>
          <w:rFonts w:hint="eastAsia" w:ascii="仿宋" w:hAnsi="仿宋" w:eastAsia="仿宋" w:cs="仿宋"/>
          <w:b w:val="0"/>
          <w:bCs w:val="0"/>
          <w:sz w:val="22"/>
          <w:szCs w:val="22"/>
        </w:rPr>
        <w:t>无</w:t>
      </w:r>
      <w:r>
        <w:rPr>
          <w:rFonts w:hint="eastAsia" w:ascii="仿宋" w:hAnsi="仿宋" w:eastAsia="仿宋" w:cs="仿宋"/>
          <w:b w:val="0"/>
          <w:bCs w:val="0"/>
          <w:sz w:val="22"/>
          <w:szCs w:val="22"/>
          <w:lang w:val="en-US" w:eastAsia="zh-CN"/>
        </w:rPr>
        <w:t>财政拨款</w:t>
      </w:r>
      <w:r>
        <w:rPr>
          <w:rFonts w:hint="eastAsia" w:ascii="仿宋" w:hAnsi="仿宋" w:eastAsia="仿宋" w:cs="仿宋"/>
          <w:b w:val="0"/>
          <w:bCs w:val="0"/>
          <w:sz w:val="22"/>
          <w:szCs w:val="22"/>
        </w:rPr>
        <w:t>机关运行经费支出决算，</w:t>
      </w:r>
      <w:bookmarkStart w:id="0" w:name="_GoBack"/>
      <w:bookmarkEnd w:id="0"/>
      <w:r>
        <w:rPr>
          <w:rFonts w:hint="eastAsia" w:ascii="仿宋" w:hAnsi="仿宋" w:eastAsia="仿宋" w:cs="仿宋"/>
          <w:b w:val="0"/>
          <w:bCs w:val="0"/>
          <w:sz w:val="22"/>
          <w:szCs w:val="22"/>
        </w:rPr>
        <w:t>故本表为空。</w:t>
      </w:r>
    </w:p>
    <w:p>
      <w:pPr>
        <w:numPr>
          <w:ilvl w:val="0"/>
          <w:numId w:val="0"/>
        </w:numPr>
        <w:tabs>
          <w:tab w:val="left" w:pos="440"/>
        </w:tabs>
        <w:spacing w:before="25" w:after="0"/>
        <w:ind w:left="440" w:leftChars="200" w:firstLine="0" w:firstLineChars="0"/>
        <w:jc w:val="both"/>
        <w:rPr>
          <w:rFonts w:hint="eastAsia" w:ascii="仿宋" w:hAnsi="仿宋" w:eastAsia="仿宋" w:cs="仿宋"/>
          <w:b w:val="0"/>
          <w:bCs w:val="0"/>
          <w:sz w:val="22"/>
          <w:szCs w:val="22"/>
          <w:lang w:val="en-US" w:eastAsia="zh-CN"/>
        </w:rPr>
        <w:sectPr>
          <w:footerReference r:id="rId15" w:type="default"/>
          <w:type w:val="continuous"/>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59" w:type="dxa"/>
        <w:tblInd w:w="45" w:type="dxa"/>
        <w:tblLayout w:type="fixed"/>
        <w:tblCellMar>
          <w:top w:w="55" w:type="dxa"/>
          <w:left w:w="55" w:type="dxa"/>
          <w:bottom w:w="55" w:type="dxa"/>
          <w:right w:w="55" w:type="dxa"/>
        </w:tblCellMar>
      </w:tblPr>
      <w:tblGrid>
        <w:gridCol w:w="4472"/>
        <w:gridCol w:w="722"/>
        <w:gridCol w:w="1992"/>
        <w:gridCol w:w="3273"/>
      </w:tblGrid>
      <w:tr>
        <w:tblPrEx>
          <w:tblCellMar>
            <w:top w:w="55" w:type="dxa"/>
            <w:left w:w="55" w:type="dxa"/>
            <w:bottom w:w="55" w:type="dxa"/>
            <w:right w:w="55" w:type="dxa"/>
          </w:tblCellMar>
        </w:tblPrEx>
        <w:trPr>
          <w:trHeight w:val="333" w:hRule="atLeast"/>
        </w:trPr>
        <w:tc>
          <w:tcPr>
            <w:tcW w:w="10459" w:type="dxa"/>
            <w:gridSpan w:val="4"/>
            <w:vAlign w:val="center"/>
          </w:tcPr>
          <w:p>
            <w:pPr>
              <w:pStyle w:val="22"/>
              <w:widowControl w:val="0"/>
              <w:bidi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政府采购支出决算表</w:t>
            </w:r>
          </w:p>
        </w:tc>
      </w:tr>
      <w:tr>
        <w:tblPrEx>
          <w:tblCellMar>
            <w:top w:w="55" w:type="dxa"/>
            <w:left w:w="55" w:type="dxa"/>
            <w:bottom w:w="55" w:type="dxa"/>
            <w:right w:w="55" w:type="dxa"/>
          </w:tblCellMar>
        </w:tblPrEx>
        <w:trPr>
          <w:trHeight w:val="333" w:hRule="atLeast"/>
        </w:trPr>
        <w:tc>
          <w:tcPr>
            <w:tcW w:w="4472" w:type="dxa"/>
          </w:tcPr>
          <w:p>
            <w:pPr>
              <w:pStyle w:val="22"/>
              <w:widowControl w:val="0"/>
              <w:bidi w:val="0"/>
              <w:rPr>
                <w:rFonts w:hint="eastAsia" w:ascii="仿宋" w:hAnsi="仿宋" w:eastAsia="仿宋" w:cs="仿宋"/>
              </w:rPr>
            </w:pPr>
          </w:p>
        </w:tc>
        <w:tc>
          <w:tcPr>
            <w:tcW w:w="722" w:type="dxa"/>
          </w:tcPr>
          <w:p>
            <w:pPr>
              <w:pStyle w:val="22"/>
              <w:widowControl w:val="0"/>
              <w:rPr>
                <w:rFonts w:hint="eastAsia" w:ascii="仿宋" w:hAnsi="仿宋" w:eastAsia="仿宋" w:cs="仿宋"/>
              </w:rPr>
            </w:pPr>
          </w:p>
        </w:tc>
        <w:tc>
          <w:tcPr>
            <w:tcW w:w="1992" w:type="dxa"/>
          </w:tcPr>
          <w:p>
            <w:pPr>
              <w:pStyle w:val="22"/>
              <w:widowControl w:val="0"/>
              <w:rPr>
                <w:rFonts w:hint="eastAsia" w:ascii="仿宋" w:hAnsi="仿宋" w:eastAsia="仿宋" w:cs="仿宋"/>
              </w:rPr>
            </w:pPr>
          </w:p>
        </w:tc>
        <w:tc>
          <w:tcPr>
            <w:tcW w:w="3273" w:type="dxa"/>
            <w:vAlign w:val="center"/>
          </w:tcPr>
          <w:p>
            <w:pPr>
              <w:pStyle w:val="22"/>
              <w:widowControl w:val="0"/>
              <w:jc w:val="right"/>
              <w:rPr>
                <w:rFonts w:hint="eastAsia" w:ascii="仿宋" w:hAnsi="仿宋" w:eastAsia="仿宋" w:cs="仿宋"/>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7186" w:type="dxa"/>
            <w:gridSpan w:val="3"/>
          </w:tcPr>
          <w:p>
            <w:pPr>
              <w:pStyle w:val="22"/>
              <w:widowControl w:val="0"/>
              <w:bidi w:val="0"/>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南通市人力资源服务中心</w:t>
            </w:r>
          </w:p>
        </w:tc>
        <w:tc>
          <w:tcPr>
            <w:tcW w:w="3273" w:type="dxa"/>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244" w:hRule="atLeast"/>
        </w:trPr>
        <w:tc>
          <w:tcPr>
            <w:tcW w:w="4472" w:type="dxa"/>
            <w:tcBorders>
              <w:top w:val="single" w:color="000000" w:sz="4" w:space="0"/>
              <w:left w:val="single" w:color="000000" w:sz="4" w:space="0"/>
              <w:bottom w:val="single" w:color="000000" w:sz="4" w:space="0"/>
            </w:tcBorders>
            <w:vAlign w:val="center"/>
          </w:tcPr>
          <w:p>
            <w:pPr>
              <w:pStyle w:val="22"/>
              <w:widowControl w:val="0"/>
              <w:bidi w:val="0"/>
              <w:jc w:val="center"/>
              <w:rPr>
                <w:rFonts w:hint="eastAsia" w:ascii="仿宋" w:hAnsi="仿宋" w:eastAsia="仿宋" w:cs="仿宋"/>
                <w:lang w:val="en-US" w:eastAsia="zh-CN"/>
              </w:rPr>
            </w:pPr>
            <w:r>
              <w:rPr>
                <w:rFonts w:ascii="仿宋" w:hAnsi="仿宋" w:eastAsia="仿宋" w:cs="仿宋"/>
              </w:rPr>
              <w:t>项目</w:t>
            </w:r>
          </w:p>
        </w:tc>
        <w:tc>
          <w:tcPr>
            <w:tcW w:w="598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金</w:t>
            </w:r>
            <w:r>
              <w:rPr>
                <w:rFonts w:hint="eastAsia" w:ascii="仿宋" w:hAnsi="仿宋" w:eastAsia="仿宋" w:cs="仿宋"/>
              </w:rPr>
              <w:tab/>
            </w:r>
            <w:r>
              <w:rPr>
                <w:rFonts w:hint="eastAsia" w:ascii="仿宋" w:hAnsi="仿宋" w:eastAsia="仿宋" w:cs="仿宋"/>
              </w:rPr>
              <w:t>额</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一、政府采购支出合计</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7.14</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（一）政府采购货物支出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7.14</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（二）政府采购工程支出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（三）政府采购服务支出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二、政府采购授予中小企业合同金额</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其中：授予小微企业合同金额</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bl>
    <w:p>
      <w:pPr>
        <w:bidi w:val="0"/>
        <w:jc w:val="both"/>
        <w:rPr>
          <w:rFonts w:hint="eastAsia" w:ascii="仿宋" w:hAnsi="仿宋" w:eastAsia="仿宋" w:cs="仿宋"/>
          <w:b w:val="0"/>
          <w:bCs w:val="0"/>
          <w:sz w:val="22"/>
          <w:szCs w:val="22"/>
        </w:rPr>
        <w:sectPr>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r>
        <w:rPr>
          <w:rFonts w:hint="eastAsia" w:ascii="仿宋" w:hAnsi="仿宋" w:eastAsia="仿宋" w:cs="仿宋"/>
          <w:b w:val="0"/>
          <w:bCs w:val="0"/>
          <w:sz w:val="22"/>
          <w:szCs w:val="22"/>
        </w:rPr>
        <w:t>注：</w:t>
      </w:r>
      <w:r>
        <w:rPr>
          <w:rFonts w:hint="eastAsia" w:ascii="仿宋" w:hAnsi="仿宋" w:eastAsia="仿宋" w:cs="仿宋"/>
          <w:b w:val="0"/>
          <w:bCs w:val="0"/>
          <w:sz w:val="22"/>
          <w:szCs w:val="22"/>
          <w:lang w:val="en-US" w:eastAsia="zh-CN"/>
        </w:rPr>
        <w:t>政府采购支出信息为单位纳入部门预算范围的各项政府采购支出情况。本表金额单位转换时可能存在尾数误差</w:t>
      </w:r>
      <w:r>
        <w:rPr>
          <w:rFonts w:hint="eastAsia" w:ascii="仿宋" w:hAnsi="仿宋" w:eastAsia="仿宋" w:cs="仿宋"/>
          <w:b w:val="0"/>
          <w:bCs w:val="0"/>
          <w:sz w:val="22"/>
          <w:szCs w:val="22"/>
        </w:rPr>
        <w:t>。</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right="504" w:rightChars="229"/>
        <w:jc w:val="both"/>
        <w:textAlignment w:val="auto"/>
        <w:rPr>
          <w:rFonts w:hint="eastAsia" w:ascii="仿宋" w:hAnsi="仿宋" w:eastAsia="仿宋" w:cs="仿宋"/>
        </w:rPr>
      </w:pPr>
    </w:p>
    <w:sectPr>
      <w:pgSz w:w="11906" w:h="16838"/>
      <w:pgMar w:top="1440" w:right="1080" w:bottom="1440" w:left="1080"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altName w:val="宋体"/>
    <w:panose1 w:val="020B0604020202020204"/>
    <w:charset w:val="86"/>
    <w:family w:val="roman"/>
    <w:pitch w:val="default"/>
    <w:sig w:usb0="00000000" w:usb1="00000000" w:usb2="00000021" w:usb3="00000000" w:csb0="600001BF" w:csb1="DFF70000"/>
  </w:font>
  <w:font w:name="Liberation Mono">
    <w:altName w:val="宋体"/>
    <w:panose1 w:val="02070409020205020404"/>
    <w:charset w:val="86"/>
    <w:family w:val="roman"/>
    <w:pitch w:val="default"/>
    <w:sig w:usb0="00000000" w:usb1="00000000" w:usb2="00000001" w:usb3="00000000" w:csb0="600001BF" w:csb1="DFF7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roman"/>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euFb6c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0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4"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Mpyfbb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0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8"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NBmKszAEAAJ0DAAAOAAAAAAAAAAEAIAAAAB4BAABkcnMvZTJv&#10;RG9jLnhtbFBLBQYAAAAABgAGAFkBAABcBQ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40"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F36fm8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cKPXn8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E/N7nM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2f7gKs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hT4IByQEAAJ0DAAAOAAAAAAAAAAEAIAAAAB4BAABkcnMvZTJvRG9j&#10;LnhtbFBLBQYAAAAABgAGAFkBAABZBQ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OtCGbf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0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2"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PRSxbf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0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3"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D5fXgH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2MDFlYzgxYzcwY2MwNDg5YTkzM2Y3NmJmNTExZDgifQ=="/>
  </w:docVars>
  <w:rsids>
    <w:rsidRoot w:val="00000000"/>
    <w:rsid w:val="00064984"/>
    <w:rsid w:val="00071789"/>
    <w:rsid w:val="000C024B"/>
    <w:rsid w:val="000F12AB"/>
    <w:rsid w:val="001C31F9"/>
    <w:rsid w:val="002E63B1"/>
    <w:rsid w:val="00407CA7"/>
    <w:rsid w:val="00413AD8"/>
    <w:rsid w:val="004C0647"/>
    <w:rsid w:val="00671ED7"/>
    <w:rsid w:val="00672164"/>
    <w:rsid w:val="006732F1"/>
    <w:rsid w:val="007C0F2D"/>
    <w:rsid w:val="008322BB"/>
    <w:rsid w:val="00867423"/>
    <w:rsid w:val="008B5B05"/>
    <w:rsid w:val="009965EA"/>
    <w:rsid w:val="00A6752E"/>
    <w:rsid w:val="00B92181"/>
    <w:rsid w:val="00BD7F33"/>
    <w:rsid w:val="00C15920"/>
    <w:rsid w:val="00C82582"/>
    <w:rsid w:val="00FA3233"/>
    <w:rsid w:val="010F1E77"/>
    <w:rsid w:val="01536131"/>
    <w:rsid w:val="01657C13"/>
    <w:rsid w:val="01714809"/>
    <w:rsid w:val="017240DE"/>
    <w:rsid w:val="01875334"/>
    <w:rsid w:val="018E7014"/>
    <w:rsid w:val="019803DB"/>
    <w:rsid w:val="01C22655"/>
    <w:rsid w:val="01C61170"/>
    <w:rsid w:val="01D4677F"/>
    <w:rsid w:val="01F17DF5"/>
    <w:rsid w:val="01FA65AD"/>
    <w:rsid w:val="01FF1E15"/>
    <w:rsid w:val="02005B8D"/>
    <w:rsid w:val="021F4E94"/>
    <w:rsid w:val="023277C7"/>
    <w:rsid w:val="02377801"/>
    <w:rsid w:val="02420B21"/>
    <w:rsid w:val="02443CCC"/>
    <w:rsid w:val="0247556A"/>
    <w:rsid w:val="02624152"/>
    <w:rsid w:val="026604FF"/>
    <w:rsid w:val="027F398B"/>
    <w:rsid w:val="0284231A"/>
    <w:rsid w:val="02987B74"/>
    <w:rsid w:val="02A822D0"/>
    <w:rsid w:val="02AF69EA"/>
    <w:rsid w:val="02B14230"/>
    <w:rsid w:val="02C378BB"/>
    <w:rsid w:val="02C92423"/>
    <w:rsid w:val="02D43672"/>
    <w:rsid w:val="02DD471D"/>
    <w:rsid w:val="02E5431C"/>
    <w:rsid w:val="02E8449D"/>
    <w:rsid w:val="02F0175E"/>
    <w:rsid w:val="02F513AC"/>
    <w:rsid w:val="02FE6DAE"/>
    <w:rsid w:val="03005360"/>
    <w:rsid w:val="03060F81"/>
    <w:rsid w:val="03121471"/>
    <w:rsid w:val="033F3F8A"/>
    <w:rsid w:val="034C108A"/>
    <w:rsid w:val="03673847"/>
    <w:rsid w:val="03690F36"/>
    <w:rsid w:val="03793778"/>
    <w:rsid w:val="037E4FBC"/>
    <w:rsid w:val="03802AE2"/>
    <w:rsid w:val="039F7320"/>
    <w:rsid w:val="03F86EFB"/>
    <w:rsid w:val="04137DFA"/>
    <w:rsid w:val="04156348"/>
    <w:rsid w:val="04212517"/>
    <w:rsid w:val="04461F7D"/>
    <w:rsid w:val="044E689B"/>
    <w:rsid w:val="0458580D"/>
    <w:rsid w:val="045E5FB7"/>
    <w:rsid w:val="04820ADC"/>
    <w:rsid w:val="048408D1"/>
    <w:rsid w:val="049256F0"/>
    <w:rsid w:val="0495610D"/>
    <w:rsid w:val="04C730A4"/>
    <w:rsid w:val="04DA4474"/>
    <w:rsid w:val="04DF580C"/>
    <w:rsid w:val="04E946A2"/>
    <w:rsid w:val="04EA46EB"/>
    <w:rsid w:val="05185546"/>
    <w:rsid w:val="052126A9"/>
    <w:rsid w:val="05247FC3"/>
    <w:rsid w:val="05346113"/>
    <w:rsid w:val="05423E9C"/>
    <w:rsid w:val="05600A24"/>
    <w:rsid w:val="05656433"/>
    <w:rsid w:val="05685F23"/>
    <w:rsid w:val="056A1C9B"/>
    <w:rsid w:val="057525F6"/>
    <w:rsid w:val="05843580"/>
    <w:rsid w:val="05856AD5"/>
    <w:rsid w:val="058C526F"/>
    <w:rsid w:val="05AB4AE4"/>
    <w:rsid w:val="05AB7BBE"/>
    <w:rsid w:val="05BD2716"/>
    <w:rsid w:val="05BE6B06"/>
    <w:rsid w:val="05C432C0"/>
    <w:rsid w:val="05C73A91"/>
    <w:rsid w:val="05DB04A3"/>
    <w:rsid w:val="05DB339C"/>
    <w:rsid w:val="05E80F9E"/>
    <w:rsid w:val="05F04613"/>
    <w:rsid w:val="05FE3016"/>
    <w:rsid w:val="06006806"/>
    <w:rsid w:val="060D1C4C"/>
    <w:rsid w:val="061C50DF"/>
    <w:rsid w:val="062B491C"/>
    <w:rsid w:val="06417385"/>
    <w:rsid w:val="06423C78"/>
    <w:rsid w:val="064A6451"/>
    <w:rsid w:val="064C13A1"/>
    <w:rsid w:val="06542957"/>
    <w:rsid w:val="0681129C"/>
    <w:rsid w:val="06824DC3"/>
    <w:rsid w:val="0695552F"/>
    <w:rsid w:val="069B5E85"/>
    <w:rsid w:val="06C87B62"/>
    <w:rsid w:val="06E710CA"/>
    <w:rsid w:val="06EB2968"/>
    <w:rsid w:val="06F23CF7"/>
    <w:rsid w:val="07293490"/>
    <w:rsid w:val="072A453E"/>
    <w:rsid w:val="073A470E"/>
    <w:rsid w:val="07520D7A"/>
    <w:rsid w:val="075575FE"/>
    <w:rsid w:val="07580A5A"/>
    <w:rsid w:val="07656047"/>
    <w:rsid w:val="077C711D"/>
    <w:rsid w:val="078F7797"/>
    <w:rsid w:val="079361A1"/>
    <w:rsid w:val="07AE39F0"/>
    <w:rsid w:val="07BE007D"/>
    <w:rsid w:val="07C509DD"/>
    <w:rsid w:val="080041F1"/>
    <w:rsid w:val="08031AA7"/>
    <w:rsid w:val="0806186F"/>
    <w:rsid w:val="080C528C"/>
    <w:rsid w:val="080F6B2A"/>
    <w:rsid w:val="08214CF0"/>
    <w:rsid w:val="083B723A"/>
    <w:rsid w:val="084A5DB4"/>
    <w:rsid w:val="08582C83"/>
    <w:rsid w:val="085D1644"/>
    <w:rsid w:val="0860441B"/>
    <w:rsid w:val="08694955"/>
    <w:rsid w:val="08913758"/>
    <w:rsid w:val="08A333FC"/>
    <w:rsid w:val="08D342E7"/>
    <w:rsid w:val="08E003AE"/>
    <w:rsid w:val="08E93645"/>
    <w:rsid w:val="08FC0605"/>
    <w:rsid w:val="09165D85"/>
    <w:rsid w:val="091D32CD"/>
    <w:rsid w:val="0947142F"/>
    <w:rsid w:val="095F763D"/>
    <w:rsid w:val="096204B4"/>
    <w:rsid w:val="0969226A"/>
    <w:rsid w:val="096B0C35"/>
    <w:rsid w:val="09891979"/>
    <w:rsid w:val="098926B4"/>
    <w:rsid w:val="09896468"/>
    <w:rsid w:val="09931095"/>
    <w:rsid w:val="09984875"/>
    <w:rsid w:val="09B3067A"/>
    <w:rsid w:val="09E82283"/>
    <w:rsid w:val="09EB3C7D"/>
    <w:rsid w:val="09F00295"/>
    <w:rsid w:val="09F032D5"/>
    <w:rsid w:val="09F45579"/>
    <w:rsid w:val="09F6640F"/>
    <w:rsid w:val="09FE0C6E"/>
    <w:rsid w:val="0A112BB9"/>
    <w:rsid w:val="0A1D215F"/>
    <w:rsid w:val="0A2639C8"/>
    <w:rsid w:val="0A2D2344"/>
    <w:rsid w:val="0A3F45FE"/>
    <w:rsid w:val="0A434869"/>
    <w:rsid w:val="0A516F86"/>
    <w:rsid w:val="0A6273E5"/>
    <w:rsid w:val="0A636CB9"/>
    <w:rsid w:val="0A7F08D2"/>
    <w:rsid w:val="0A964BFD"/>
    <w:rsid w:val="0A9D666F"/>
    <w:rsid w:val="0AAC5ED9"/>
    <w:rsid w:val="0ADA70C2"/>
    <w:rsid w:val="0AFD463B"/>
    <w:rsid w:val="0B05614C"/>
    <w:rsid w:val="0B134992"/>
    <w:rsid w:val="0B160131"/>
    <w:rsid w:val="0B2B4189"/>
    <w:rsid w:val="0B392278"/>
    <w:rsid w:val="0B675A67"/>
    <w:rsid w:val="0B6B4077"/>
    <w:rsid w:val="0B752A0F"/>
    <w:rsid w:val="0B813D25"/>
    <w:rsid w:val="0B89728A"/>
    <w:rsid w:val="0B9E71AD"/>
    <w:rsid w:val="0BAC43D1"/>
    <w:rsid w:val="0BB91287"/>
    <w:rsid w:val="0BBA4FFF"/>
    <w:rsid w:val="0BCD6A8D"/>
    <w:rsid w:val="0BCF6DAD"/>
    <w:rsid w:val="0BD87EAC"/>
    <w:rsid w:val="0BE46B89"/>
    <w:rsid w:val="0BF41C52"/>
    <w:rsid w:val="0C047996"/>
    <w:rsid w:val="0C0E112C"/>
    <w:rsid w:val="0C1337D7"/>
    <w:rsid w:val="0C2215AA"/>
    <w:rsid w:val="0C64719F"/>
    <w:rsid w:val="0C6536DB"/>
    <w:rsid w:val="0C797590"/>
    <w:rsid w:val="0C9B273A"/>
    <w:rsid w:val="0CA00951"/>
    <w:rsid w:val="0CBD0903"/>
    <w:rsid w:val="0CC51EAD"/>
    <w:rsid w:val="0CD230A9"/>
    <w:rsid w:val="0CD65166"/>
    <w:rsid w:val="0CDB2BBC"/>
    <w:rsid w:val="0CE84C0B"/>
    <w:rsid w:val="0CEF2113"/>
    <w:rsid w:val="0CEF2581"/>
    <w:rsid w:val="0D05225F"/>
    <w:rsid w:val="0D1424ED"/>
    <w:rsid w:val="0D261419"/>
    <w:rsid w:val="0D42705A"/>
    <w:rsid w:val="0D545049"/>
    <w:rsid w:val="0D617032"/>
    <w:rsid w:val="0D673696"/>
    <w:rsid w:val="0D6C5D61"/>
    <w:rsid w:val="0D760FDB"/>
    <w:rsid w:val="0D766D04"/>
    <w:rsid w:val="0D7F345D"/>
    <w:rsid w:val="0D991370"/>
    <w:rsid w:val="0DAC0D2B"/>
    <w:rsid w:val="0DAD6BC9"/>
    <w:rsid w:val="0DBA3094"/>
    <w:rsid w:val="0DD06A00"/>
    <w:rsid w:val="0DDF0D4D"/>
    <w:rsid w:val="0DFC3CDF"/>
    <w:rsid w:val="0DFD772C"/>
    <w:rsid w:val="0DFF5826"/>
    <w:rsid w:val="0E0A51F9"/>
    <w:rsid w:val="0E1F1C4F"/>
    <w:rsid w:val="0E2252C7"/>
    <w:rsid w:val="0E27451D"/>
    <w:rsid w:val="0E4806AD"/>
    <w:rsid w:val="0E52151F"/>
    <w:rsid w:val="0E5E7568"/>
    <w:rsid w:val="0E601E8E"/>
    <w:rsid w:val="0E662847"/>
    <w:rsid w:val="0E854C8B"/>
    <w:rsid w:val="0E8D69FB"/>
    <w:rsid w:val="0E94230E"/>
    <w:rsid w:val="0E946F22"/>
    <w:rsid w:val="0EA37FCC"/>
    <w:rsid w:val="0EB75826"/>
    <w:rsid w:val="0EE7610B"/>
    <w:rsid w:val="0EF65551"/>
    <w:rsid w:val="0EFE25F0"/>
    <w:rsid w:val="0F111837"/>
    <w:rsid w:val="0F135152"/>
    <w:rsid w:val="0F256D3C"/>
    <w:rsid w:val="0F711E78"/>
    <w:rsid w:val="0F807B33"/>
    <w:rsid w:val="0F8C6CB2"/>
    <w:rsid w:val="0F8F17E6"/>
    <w:rsid w:val="0FB029A1"/>
    <w:rsid w:val="0FB02B15"/>
    <w:rsid w:val="0FB21F29"/>
    <w:rsid w:val="0FB47D1E"/>
    <w:rsid w:val="0FCE598D"/>
    <w:rsid w:val="0FD77F2D"/>
    <w:rsid w:val="0FD849C7"/>
    <w:rsid w:val="0FE03B0E"/>
    <w:rsid w:val="0FE663C2"/>
    <w:rsid w:val="0FEF37CA"/>
    <w:rsid w:val="100928FC"/>
    <w:rsid w:val="10093E5F"/>
    <w:rsid w:val="101A62D4"/>
    <w:rsid w:val="10260EB5"/>
    <w:rsid w:val="1027035F"/>
    <w:rsid w:val="102A2753"/>
    <w:rsid w:val="102A69EF"/>
    <w:rsid w:val="102C3484"/>
    <w:rsid w:val="103D6600"/>
    <w:rsid w:val="10463305"/>
    <w:rsid w:val="106204CB"/>
    <w:rsid w:val="1068327B"/>
    <w:rsid w:val="1069097D"/>
    <w:rsid w:val="10703EDE"/>
    <w:rsid w:val="108C6F6A"/>
    <w:rsid w:val="10A90FB7"/>
    <w:rsid w:val="10B95885"/>
    <w:rsid w:val="10F845FF"/>
    <w:rsid w:val="11092167"/>
    <w:rsid w:val="110C3973"/>
    <w:rsid w:val="110D47B0"/>
    <w:rsid w:val="11110225"/>
    <w:rsid w:val="111930E1"/>
    <w:rsid w:val="111E1B8C"/>
    <w:rsid w:val="11252430"/>
    <w:rsid w:val="112E0021"/>
    <w:rsid w:val="1143676B"/>
    <w:rsid w:val="11471791"/>
    <w:rsid w:val="117C1012"/>
    <w:rsid w:val="11872569"/>
    <w:rsid w:val="118B7221"/>
    <w:rsid w:val="11AB09B5"/>
    <w:rsid w:val="11B7025F"/>
    <w:rsid w:val="11C36B1F"/>
    <w:rsid w:val="11C52DC5"/>
    <w:rsid w:val="11E46932"/>
    <w:rsid w:val="11F221C7"/>
    <w:rsid w:val="11F2605E"/>
    <w:rsid w:val="11F724E3"/>
    <w:rsid w:val="122227BF"/>
    <w:rsid w:val="12313173"/>
    <w:rsid w:val="12313682"/>
    <w:rsid w:val="12437AFC"/>
    <w:rsid w:val="127A1044"/>
    <w:rsid w:val="128157F4"/>
    <w:rsid w:val="12AA36D7"/>
    <w:rsid w:val="12B566A2"/>
    <w:rsid w:val="12C448B1"/>
    <w:rsid w:val="12D32267"/>
    <w:rsid w:val="12E60488"/>
    <w:rsid w:val="12F05187"/>
    <w:rsid w:val="13142710"/>
    <w:rsid w:val="1335650B"/>
    <w:rsid w:val="133E1FA2"/>
    <w:rsid w:val="13871C6A"/>
    <w:rsid w:val="139377AA"/>
    <w:rsid w:val="13A44407"/>
    <w:rsid w:val="13A46379"/>
    <w:rsid w:val="13BD743A"/>
    <w:rsid w:val="13E2730D"/>
    <w:rsid w:val="13F85ED3"/>
    <w:rsid w:val="140626B0"/>
    <w:rsid w:val="140C350F"/>
    <w:rsid w:val="14207DA2"/>
    <w:rsid w:val="142101C9"/>
    <w:rsid w:val="143164E8"/>
    <w:rsid w:val="14341A45"/>
    <w:rsid w:val="146856DB"/>
    <w:rsid w:val="146B3433"/>
    <w:rsid w:val="14795A57"/>
    <w:rsid w:val="147C72F5"/>
    <w:rsid w:val="14933F94"/>
    <w:rsid w:val="14A34882"/>
    <w:rsid w:val="14A95C11"/>
    <w:rsid w:val="14AA0D30"/>
    <w:rsid w:val="14BA3B44"/>
    <w:rsid w:val="14CD6BF6"/>
    <w:rsid w:val="14EE3158"/>
    <w:rsid w:val="1504334D"/>
    <w:rsid w:val="15085477"/>
    <w:rsid w:val="152578C2"/>
    <w:rsid w:val="154755A3"/>
    <w:rsid w:val="15664CCA"/>
    <w:rsid w:val="156C1118"/>
    <w:rsid w:val="159E0364"/>
    <w:rsid w:val="15A959CF"/>
    <w:rsid w:val="15B93CF7"/>
    <w:rsid w:val="15D36B14"/>
    <w:rsid w:val="15F07F9B"/>
    <w:rsid w:val="16053674"/>
    <w:rsid w:val="16146EAD"/>
    <w:rsid w:val="161A451C"/>
    <w:rsid w:val="161E395E"/>
    <w:rsid w:val="1621543B"/>
    <w:rsid w:val="163E1726"/>
    <w:rsid w:val="16565924"/>
    <w:rsid w:val="167F1A6B"/>
    <w:rsid w:val="16971C37"/>
    <w:rsid w:val="16A448E1"/>
    <w:rsid w:val="16BE14E7"/>
    <w:rsid w:val="16BE34FA"/>
    <w:rsid w:val="16DA6212"/>
    <w:rsid w:val="16ED632E"/>
    <w:rsid w:val="1705386D"/>
    <w:rsid w:val="170A0BE8"/>
    <w:rsid w:val="170D692B"/>
    <w:rsid w:val="1717031D"/>
    <w:rsid w:val="17367C2F"/>
    <w:rsid w:val="17451C21"/>
    <w:rsid w:val="175D47C3"/>
    <w:rsid w:val="176B2704"/>
    <w:rsid w:val="178C5AA1"/>
    <w:rsid w:val="178D35C8"/>
    <w:rsid w:val="17BC2D29"/>
    <w:rsid w:val="17EC4792"/>
    <w:rsid w:val="18025D64"/>
    <w:rsid w:val="1808589E"/>
    <w:rsid w:val="181B6E25"/>
    <w:rsid w:val="18272F04"/>
    <w:rsid w:val="183F0D66"/>
    <w:rsid w:val="1847137D"/>
    <w:rsid w:val="18473583"/>
    <w:rsid w:val="18585984"/>
    <w:rsid w:val="188B47DF"/>
    <w:rsid w:val="18916DBC"/>
    <w:rsid w:val="18AA3C15"/>
    <w:rsid w:val="18BA5D81"/>
    <w:rsid w:val="18C07826"/>
    <w:rsid w:val="18C77023"/>
    <w:rsid w:val="18E45469"/>
    <w:rsid w:val="18EE62E8"/>
    <w:rsid w:val="18FD3C01"/>
    <w:rsid w:val="190E24E6"/>
    <w:rsid w:val="19195D82"/>
    <w:rsid w:val="193033EC"/>
    <w:rsid w:val="19322678"/>
    <w:rsid w:val="194A216C"/>
    <w:rsid w:val="19517451"/>
    <w:rsid w:val="19562DE7"/>
    <w:rsid w:val="19603977"/>
    <w:rsid w:val="196D1879"/>
    <w:rsid w:val="19810F0A"/>
    <w:rsid w:val="199D3E22"/>
    <w:rsid w:val="19A676CD"/>
    <w:rsid w:val="19B34CEE"/>
    <w:rsid w:val="19C57B31"/>
    <w:rsid w:val="19CE54E8"/>
    <w:rsid w:val="19DA0E66"/>
    <w:rsid w:val="1A051B3B"/>
    <w:rsid w:val="1A0868DE"/>
    <w:rsid w:val="1A386BB6"/>
    <w:rsid w:val="1A3E0B9C"/>
    <w:rsid w:val="1A5A0D30"/>
    <w:rsid w:val="1A641248"/>
    <w:rsid w:val="1A6B178B"/>
    <w:rsid w:val="1A6E7911"/>
    <w:rsid w:val="1AA11864"/>
    <w:rsid w:val="1ABF618E"/>
    <w:rsid w:val="1AD90120"/>
    <w:rsid w:val="1AEB035A"/>
    <w:rsid w:val="1AF0114F"/>
    <w:rsid w:val="1AF61156"/>
    <w:rsid w:val="1B114FF8"/>
    <w:rsid w:val="1B136BC2"/>
    <w:rsid w:val="1B1C5890"/>
    <w:rsid w:val="1B2C6156"/>
    <w:rsid w:val="1B363B76"/>
    <w:rsid w:val="1B394ECA"/>
    <w:rsid w:val="1B4D379A"/>
    <w:rsid w:val="1B612DA1"/>
    <w:rsid w:val="1B6F2A95"/>
    <w:rsid w:val="1B7011A6"/>
    <w:rsid w:val="1B894395"/>
    <w:rsid w:val="1BC84BF9"/>
    <w:rsid w:val="1BDD4B1E"/>
    <w:rsid w:val="1BE008E5"/>
    <w:rsid w:val="1BE426E0"/>
    <w:rsid w:val="1BEF5EDC"/>
    <w:rsid w:val="1BF3045F"/>
    <w:rsid w:val="1C171374"/>
    <w:rsid w:val="1C324768"/>
    <w:rsid w:val="1C383244"/>
    <w:rsid w:val="1C4928ED"/>
    <w:rsid w:val="1C6E7E6B"/>
    <w:rsid w:val="1C706707"/>
    <w:rsid w:val="1C881C55"/>
    <w:rsid w:val="1C8C6E3B"/>
    <w:rsid w:val="1C8F4549"/>
    <w:rsid w:val="1C9B1094"/>
    <w:rsid w:val="1C9D7829"/>
    <w:rsid w:val="1CA25487"/>
    <w:rsid w:val="1CC01D49"/>
    <w:rsid w:val="1CCB706C"/>
    <w:rsid w:val="1CD36541"/>
    <w:rsid w:val="1CD53375"/>
    <w:rsid w:val="1CD770E1"/>
    <w:rsid w:val="1CDF3C35"/>
    <w:rsid w:val="1CDF48C5"/>
    <w:rsid w:val="1CED64E7"/>
    <w:rsid w:val="1CF10155"/>
    <w:rsid w:val="1CF655C7"/>
    <w:rsid w:val="1CF70CE3"/>
    <w:rsid w:val="1D083787"/>
    <w:rsid w:val="1D0E4D1B"/>
    <w:rsid w:val="1D1B1576"/>
    <w:rsid w:val="1D201166"/>
    <w:rsid w:val="1D235D75"/>
    <w:rsid w:val="1D464944"/>
    <w:rsid w:val="1D5A4782"/>
    <w:rsid w:val="1D623037"/>
    <w:rsid w:val="1D660B43"/>
    <w:rsid w:val="1D672CB3"/>
    <w:rsid w:val="1D7C0925"/>
    <w:rsid w:val="1D817975"/>
    <w:rsid w:val="1D951979"/>
    <w:rsid w:val="1DAF110E"/>
    <w:rsid w:val="1DB61054"/>
    <w:rsid w:val="1DC835AB"/>
    <w:rsid w:val="1DC94431"/>
    <w:rsid w:val="1DD41F50"/>
    <w:rsid w:val="1DF7725D"/>
    <w:rsid w:val="1DFC15A1"/>
    <w:rsid w:val="1DFC3255"/>
    <w:rsid w:val="1DFD14A7"/>
    <w:rsid w:val="1E107489"/>
    <w:rsid w:val="1E120047"/>
    <w:rsid w:val="1E2456FC"/>
    <w:rsid w:val="1E387717"/>
    <w:rsid w:val="1E426EBA"/>
    <w:rsid w:val="1E5227F5"/>
    <w:rsid w:val="1E5B1486"/>
    <w:rsid w:val="1E6037E4"/>
    <w:rsid w:val="1E6C2CB1"/>
    <w:rsid w:val="1E86604F"/>
    <w:rsid w:val="1E8B2478"/>
    <w:rsid w:val="1EA55F87"/>
    <w:rsid w:val="1EAB38DD"/>
    <w:rsid w:val="1EB06519"/>
    <w:rsid w:val="1EBB4C20"/>
    <w:rsid w:val="1EC57AB3"/>
    <w:rsid w:val="1ECE40F1"/>
    <w:rsid w:val="1EEE7042"/>
    <w:rsid w:val="1EEF2C2E"/>
    <w:rsid w:val="1EF87EC0"/>
    <w:rsid w:val="1EF93282"/>
    <w:rsid w:val="1EFC05DA"/>
    <w:rsid w:val="1F242409"/>
    <w:rsid w:val="1F260691"/>
    <w:rsid w:val="1F274302"/>
    <w:rsid w:val="1F2F1476"/>
    <w:rsid w:val="1F342CDC"/>
    <w:rsid w:val="1F364345"/>
    <w:rsid w:val="1F3C055E"/>
    <w:rsid w:val="1F3F5AEF"/>
    <w:rsid w:val="1F5350F7"/>
    <w:rsid w:val="1F5838AB"/>
    <w:rsid w:val="1F65551D"/>
    <w:rsid w:val="1F721347"/>
    <w:rsid w:val="1F724421"/>
    <w:rsid w:val="1F8B39C7"/>
    <w:rsid w:val="1F925C1F"/>
    <w:rsid w:val="1FA17CC2"/>
    <w:rsid w:val="1FAE057F"/>
    <w:rsid w:val="1FB77434"/>
    <w:rsid w:val="1FCB1131"/>
    <w:rsid w:val="1FD866E0"/>
    <w:rsid w:val="1FEA282E"/>
    <w:rsid w:val="1FF73CD4"/>
    <w:rsid w:val="1FF92872"/>
    <w:rsid w:val="1FFE4976"/>
    <w:rsid w:val="20054643"/>
    <w:rsid w:val="200945DD"/>
    <w:rsid w:val="200B03E4"/>
    <w:rsid w:val="200E293D"/>
    <w:rsid w:val="201802D4"/>
    <w:rsid w:val="20362A4E"/>
    <w:rsid w:val="2043516B"/>
    <w:rsid w:val="204A1446"/>
    <w:rsid w:val="20571955"/>
    <w:rsid w:val="20594713"/>
    <w:rsid w:val="20632091"/>
    <w:rsid w:val="20834EBA"/>
    <w:rsid w:val="20900DEF"/>
    <w:rsid w:val="209B6228"/>
    <w:rsid w:val="20B61DE1"/>
    <w:rsid w:val="20CA13E8"/>
    <w:rsid w:val="20CA3D8E"/>
    <w:rsid w:val="20D245C5"/>
    <w:rsid w:val="20E47858"/>
    <w:rsid w:val="20EE2134"/>
    <w:rsid w:val="20F375E8"/>
    <w:rsid w:val="20F544F1"/>
    <w:rsid w:val="211508B6"/>
    <w:rsid w:val="21182154"/>
    <w:rsid w:val="21206CAA"/>
    <w:rsid w:val="2127683B"/>
    <w:rsid w:val="213F3B84"/>
    <w:rsid w:val="2148186B"/>
    <w:rsid w:val="21776D10"/>
    <w:rsid w:val="218F0CEB"/>
    <w:rsid w:val="21A47E8B"/>
    <w:rsid w:val="21B52099"/>
    <w:rsid w:val="21EA64FE"/>
    <w:rsid w:val="223236E9"/>
    <w:rsid w:val="223F0861"/>
    <w:rsid w:val="224A27E1"/>
    <w:rsid w:val="224D407F"/>
    <w:rsid w:val="22543660"/>
    <w:rsid w:val="225F78FB"/>
    <w:rsid w:val="227347E3"/>
    <w:rsid w:val="227D4749"/>
    <w:rsid w:val="22B66C67"/>
    <w:rsid w:val="22B96619"/>
    <w:rsid w:val="22C34214"/>
    <w:rsid w:val="22C9349D"/>
    <w:rsid w:val="22CF4CB9"/>
    <w:rsid w:val="22E5714F"/>
    <w:rsid w:val="23073234"/>
    <w:rsid w:val="23153D35"/>
    <w:rsid w:val="231859C4"/>
    <w:rsid w:val="233651B2"/>
    <w:rsid w:val="233C5C01"/>
    <w:rsid w:val="235A2EF8"/>
    <w:rsid w:val="23655593"/>
    <w:rsid w:val="237044C9"/>
    <w:rsid w:val="23873CA0"/>
    <w:rsid w:val="23A668C2"/>
    <w:rsid w:val="23B5012E"/>
    <w:rsid w:val="23B50BF5"/>
    <w:rsid w:val="23C6058D"/>
    <w:rsid w:val="23CC2CE3"/>
    <w:rsid w:val="23E97DD8"/>
    <w:rsid w:val="23F81D1C"/>
    <w:rsid w:val="24004EF0"/>
    <w:rsid w:val="242552B4"/>
    <w:rsid w:val="242D23BA"/>
    <w:rsid w:val="24361C71"/>
    <w:rsid w:val="244514B2"/>
    <w:rsid w:val="245222E6"/>
    <w:rsid w:val="2455798C"/>
    <w:rsid w:val="246851A0"/>
    <w:rsid w:val="246E4FE1"/>
    <w:rsid w:val="247771B1"/>
    <w:rsid w:val="24797436"/>
    <w:rsid w:val="24893698"/>
    <w:rsid w:val="248A0DA1"/>
    <w:rsid w:val="248B0DC9"/>
    <w:rsid w:val="24AC7248"/>
    <w:rsid w:val="24B228BF"/>
    <w:rsid w:val="24BC54EC"/>
    <w:rsid w:val="24DE364C"/>
    <w:rsid w:val="24EF440E"/>
    <w:rsid w:val="25007ACF"/>
    <w:rsid w:val="25076767"/>
    <w:rsid w:val="25191A92"/>
    <w:rsid w:val="25290357"/>
    <w:rsid w:val="253C3B25"/>
    <w:rsid w:val="25513E86"/>
    <w:rsid w:val="255F5B0A"/>
    <w:rsid w:val="25664EB1"/>
    <w:rsid w:val="257302A1"/>
    <w:rsid w:val="2573629D"/>
    <w:rsid w:val="257B7E43"/>
    <w:rsid w:val="25A7022D"/>
    <w:rsid w:val="25B06295"/>
    <w:rsid w:val="25C32FD6"/>
    <w:rsid w:val="25C603D0"/>
    <w:rsid w:val="25E1520A"/>
    <w:rsid w:val="25E2513A"/>
    <w:rsid w:val="25F45922"/>
    <w:rsid w:val="25FD2F48"/>
    <w:rsid w:val="261E645E"/>
    <w:rsid w:val="262E21CA"/>
    <w:rsid w:val="26713F63"/>
    <w:rsid w:val="26753166"/>
    <w:rsid w:val="267B561B"/>
    <w:rsid w:val="267C5A99"/>
    <w:rsid w:val="2682148D"/>
    <w:rsid w:val="26832765"/>
    <w:rsid w:val="268D22B5"/>
    <w:rsid w:val="269240CC"/>
    <w:rsid w:val="269A47B4"/>
    <w:rsid w:val="269E759F"/>
    <w:rsid w:val="26A526DC"/>
    <w:rsid w:val="26A5448A"/>
    <w:rsid w:val="26BF5BA2"/>
    <w:rsid w:val="26CB1A16"/>
    <w:rsid w:val="26D96B5A"/>
    <w:rsid w:val="26EC7F5B"/>
    <w:rsid w:val="27016CF5"/>
    <w:rsid w:val="27175BDC"/>
    <w:rsid w:val="271B299E"/>
    <w:rsid w:val="271E071C"/>
    <w:rsid w:val="272B00CD"/>
    <w:rsid w:val="27381EB7"/>
    <w:rsid w:val="275E5E47"/>
    <w:rsid w:val="276C4FA7"/>
    <w:rsid w:val="27924AA1"/>
    <w:rsid w:val="27942BC4"/>
    <w:rsid w:val="27962E21"/>
    <w:rsid w:val="279768B3"/>
    <w:rsid w:val="279A19EA"/>
    <w:rsid w:val="27B169B4"/>
    <w:rsid w:val="27B21745"/>
    <w:rsid w:val="27B32BD6"/>
    <w:rsid w:val="27B45C73"/>
    <w:rsid w:val="27B911ED"/>
    <w:rsid w:val="27D27F60"/>
    <w:rsid w:val="27E744FA"/>
    <w:rsid w:val="27F83B89"/>
    <w:rsid w:val="27FE146D"/>
    <w:rsid w:val="28037CCB"/>
    <w:rsid w:val="28321D4D"/>
    <w:rsid w:val="283E36E3"/>
    <w:rsid w:val="283F446A"/>
    <w:rsid w:val="284675E2"/>
    <w:rsid w:val="284E0B22"/>
    <w:rsid w:val="28543497"/>
    <w:rsid w:val="28630B61"/>
    <w:rsid w:val="286C012F"/>
    <w:rsid w:val="286E4D4F"/>
    <w:rsid w:val="289B5942"/>
    <w:rsid w:val="28B77612"/>
    <w:rsid w:val="28BB465F"/>
    <w:rsid w:val="28D728F5"/>
    <w:rsid w:val="28E55011"/>
    <w:rsid w:val="28F25980"/>
    <w:rsid w:val="29012269"/>
    <w:rsid w:val="291451AB"/>
    <w:rsid w:val="29157417"/>
    <w:rsid w:val="29285E0F"/>
    <w:rsid w:val="294477FD"/>
    <w:rsid w:val="2947617E"/>
    <w:rsid w:val="29505C1F"/>
    <w:rsid w:val="296323DA"/>
    <w:rsid w:val="297158AB"/>
    <w:rsid w:val="29807966"/>
    <w:rsid w:val="299D065B"/>
    <w:rsid w:val="29B50FF4"/>
    <w:rsid w:val="29C02FCD"/>
    <w:rsid w:val="29C63807"/>
    <w:rsid w:val="29EB45D3"/>
    <w:rsid w:val="2A0312F6"/>
    <w:rsid w:val="2A07685B"/>
    <w:rsid w:val="2A0A72B2"/>
    <w:rsid w:val="2A102562"/>
    <w:rsid w:val="2A125E2D"/>
    <w:rsid w:val="2A250422"/>
    <w:rsid w:val="2A2569D8"/>
    <w:rsid w:val="2A2F7528"/>
    <w:rsid w:val="2A3E46F3"/>
    <w:rsid w:val="2A5F36CE"/>
    <w:rsid w:val="2A613F70"/>
    <w:rsid w:val="2A7975D0"/>
    <w:rsid w:val="2A7B46D0"/>
    <w:rsid w:val="2A7E694A"/>
    <w:rsid w:val="2A88405F"/>
    <w:rsid w:val="2AB54EB7"/>
    <w:rsid w:val="2AC03F74"/>
    <w:rsid w:val="2AC86999"/>
    <w:rsid w:val="2ACD4D90"/>
    <w:rsid w:val="2ADC43C4"/>
    <w:rsid w:val="2AE07B98"/>
    <w:rsid w:val="2AE337D3"/>
    <w:rsid w:val="2B057BED"/>
    <w:rsid w:val="2B1B36C2"/>
    <w:rsid w:val="2B3C1AAA"/>
    <w:rsid w:val="2B77216D"/>
    <w:rsid w:val="2B7A42C1"/>
    <w:rsid w:val="2B82668D"/>
    <w:rsid w:val="2B8C19B3"/>
    <w:rsid w:val="2B9A7EB4"/>
    <w:rsid w:val="2BB8407D"/>
    <w:rsid w:val="2BBE24DE"/>
    <w:rsid w:val="2BBF0C02"/>
    <w:rsid w:val="2BC270C8"/>
    <w:rsid w:val="2BDD28EB"/>
    <w:rsid w:val="2BE5357A"/>
    <w:rsid w:val="2BEC66B7"/>
    <w:rsid w:val="2BF43094"/>
    <w:rsid w:val="2BF909AA"/>
    <w:rsid w:val="2BFC0D12"/>
    <w:rsid w:val="2C016606"/>
    <w:rsid w:val="2C0757B7"/>
    <w:rsid w:val="2C153E60"/>
    <w:rsid w:val="2C1E422F"/>
    <w:rsid w:val="2C3818FC"/>
    <w:rsid w:val="2C5950A4"/>
    <w:rsid w:val="2C660130"/>
    <w:rsid w:val="2C73502A"/>
    <w:rsid w:val="2C8102D0"/>
    <w:rsid w:val="2CAD3317"/>
    <w:rsid w:val="2CB9711D"/>
    <w:rsid w:val="2CDA0C05"/>
    <w:rsid w:val="2CEA52EC"/>
    <w:rsid w:val="2CF3363A"/>
    <w:rsid w:val="2D000C25"/>
    <w:rsid w:val="2D0F4DB4"/>
    <w:rsid w:val="2D2D36A5"/>
    <w:rsid w:val="2D365B16"/>
    <w:rsid w:val="2D4B38B1"/>
    <w:rsid w:val="2D5646DC"/>
    <w:rsid w:val="2D584691"/>
    <w:rsid w:val="2D6D2070"/>
    <w:rsid w:val="2D9708A4"/>
    <w:rsid w:val="2D9D0838"/>
    <w:rsid w:val="2D9E1C33"/>
    <w:rsid w:val="2DB652A4"/>
    <w:rsid w:val="2DB943B8"/>
    <w:rsid w:val="2DBA2F11"/>
    <w:rsid w:val="2DBB2419"/>
    <w:rsid w:val="2DBF7001"/>
    <w:rsid w:val="2DC26166"/>
    <w:rsid w:val="2DCF44E2"/>
    <w:rsid w:val="2DD13DB6"/>
    <w:rsid w:val="2DD903A8"/>
    <w:rsid w:val="2DEA2F76"/>
    <w:rsid w:val="2DF041FF"/>
    <w:rsid w:val="2DF05F6F"/>
    <w:rsid w:val="2DF76E1B"/>
    <w:rsid w:val="2DFD2DFD"/>
    <w:rsid w:val="2E020414"/>
    <w:rsid w:val="2E10357E"/>
    <w:rsid w:val="2E177A17"/>
    <w:rsid w:val="2E1B30B3"/>
    <w:rsid w:val="2E310CF9"/>
    <w:rsid w:val="2E3E487D"/>
    <w:rsid w:val="2E41360C"/>
    <w:rsid w:val="2E450300"/>
    <w:rsid w:val="2E607FBE"/>
    <w:rsid w:val="2E615CAF"/>
    <w:rsid w:val="2E64456A"/>
    <w:rsid w:val="2E7264C5"/>
    <w:rsid w:val="2E7653DE"/>
    <w:rsid w:val="2E842882"/>
    <w:rsid w:val="2E8C6A3D"/>
    <w:rsid w:val="2EB508B8"/>
    <w:rsid w:val="2ED71BB4"/>
    <w:rsid w:val="2EF47A31"/>
    <w:rsid w:val="2F04472C"/>
    <w:rsid w:val="2F066396"/>
    <w:rsid w:val="2F2220C8"/>
    <w:rsid w:val="2F2655A5"/>
    <w:rsid w:val="2F30138F"/>
    <w:rsid w:val="2F5628C1"/>
    <w:rsid w:val="2F666780"/>
    <w:rsid w:val="2F6C2646"/>
    <w:rsid w:val="2F715851"/>
    <w:rsid w:val="2F81781A"/>
    <w:rsid w:val="2F8310E0"/>
    <w:rsid w:val="2FBA6AB0"/>
    <w:rsid w:val="2FDA5233"/>
    <w:rsid w:val="30186987"/>
    <w:rsid w:val="30383160"/>
    <w:rsid w:val="30396B3B"/>
    <w:rsid w:val="303D3D8D"/>
    <w:rsid w:val="30410449"/>
    <w:rsid w:val="304B34C7"/>
    <w:rsid w:val="304C3BC8"/>
    <w:rsid w:val="306F3884"/>
    <w:rsid w:val="30817D16"/>
    <w:rsid w:val="308C6F5A"/>
    <w:rsid w:val="3095731D"/>
    <w:rsid w:val="30977539"/>
    <w:rsid w:val="30AE1C64"/>
    <w:rsid w:val="30B654E5"/>
    <w:rsid w:val="30B73737"/>
    <w:rsid w:val="30C65728"/>
    <w:rsid w:val="30D06AF0"/>
    <w:rsid w:val="30DC1248"/>
    <w:rsid w:val="30E16401"/>
    <w:rsid w:val="30F229C1"/>
    <w:rsid w:val="30F93D50"/>
    <w:rsid w:val="310149B3"/>
    <w:rsid w:val="31175F84"/>
    <w:rsid w:val="313C3C3D"/>
    <w:rsid w:val="31405015"/>
    <w:rsid w:val="31537EEC"/>
    <w:rsid w:val="31591892"/>
    <w:rsid w:val="316F0F32"/>
    <w:rsid w:val="31736100"/>
    <w:rsid w:val="31750446"/>
    <w:rsid w:val="31773981"/>
    <w:rsid w:val="318F234F"/>
    <w:rsid w:val="319C6FC9"/>
    <w:rsid w:val="3205097C"/>
    <w:rsid w:val="3219245E"/>
    <w:rsid w:val="323677EC"/>
    <w:rsid w:val="32382656"/>
    <w:rsid w:val="323827BE"/>
    <w:rsid w:val="3240775C"/>
    <w:rsid w:val="32495754"/>
    <w:rsid w:val="32541D1E"/>
    <w:rsid w:val="32601BAD"/>
    <w:rsid w:val="32605AA8"/>
    <w:rsid w:val="32615E04"/>
    <w:rsid w:val="326849A2"/>
    <w:rsid w:val="326B0F6E"/>
    <w:rsid w:val="327B69E7"/>
    <w:rsid w:val="328126D8"/>
    <w:rsid w:val="3284589B"/>
    <w:rsid w:val="32847649"/>
    <w:rsid w:val="32A04DB4"/>
    <w:rsid w:val="32BB4137"/>
    <w:rsid w:val="32C57C62"/>
    <w:rsid w:val="32D07FAA"/>
    <w:rsid w:val="32DE0BF1"/>
    <w:rsid w:val="32E158F1"/>
    <w:rsid w:val="33031007"/>
    <w:rsid w:val="330A1B9B"/>
    <w:rsid w:val="331C3D26"/>
    <w:rsid w:val="33341058"/>
    <w:rsid w:val="333472C1"/>
    <w:rsid w:val="33501C21"/>
    <w:rsid w:val="3361588C"/>
    <w:rsid w:val="33797999"/>
    <w:rsid w:val="338032CF"/>
    <w:rsid w:val="339F17B8"/>
    <w:rsid w:val="339F3BDD"/>
    <w:rsid w:val="33A9773C"/>
    <w:rsid w:val="33BE302F"/>
    <w:rsid w:val="33CE4708"/>
    <w:rsid w:val="33D00CCC"/>
    <w:rsid w:val="33DE722D"/>
    <w:rsid w:val="33E93AE7"/>
    <w:rsid w:val="33FB47B2"/>
    <w:rsid w:val="33FE062C"/>
    <w:rsid w:val="34000F51"/>
    <w:rsid w:val="34056B2D"/>
    <w:rsid w:val="340D123D"/>
    <w:rsid w:val="340D402A"/>
    <w:rsid w:val="34117F4A"/>
    <w:rsid w:val="34157A69"/>
    <w:rsid w:val="342F04EE"/>
    <w:rsid w:val="343278F3"/>
    <w:rsid w:val="343773FE"/>
    <w:rsid w:val="344352BB"/>
    <w:rsid w:val="34565015"/>
    <w:rsid w:val="345F13D2"/>
    <w:rsid w:val="346614E2"/>
    <w:rsid w:val="346F44E7"/>
    <w:rsid w:val="3477121B"/>
    <w:rsid w:val="34833930"/>
    <w:rsid w:val="348576A9"/>
    <w:rsid w:val="34880F47"/>
    <w:rsid w:val="34C33940"/>
    <w:rsid w:val="34CE5612"/>
    <w:rsid w:val="34CF786E"/>
    <w:rsid w:val="34D67F04"/>
    <w:rsid w:val="34DA288E"/>
    <w:rsid w:val="34E07C21"/>
    <w:rsid w:val="34E11C57"/>
    <w:rsid w:val="34E43EEA"/>
    <w:rsid w:val="34F47C15"/>
    <w:rsid w:val="34F540BD"/>
    <w:rsid w:val="34FF3C2C"/>
    <w:rsid w:val="35063B46"/>
    <w:rsid w:val="35095EB0"/>
    <w:rsid w:val="351C3CD0"/>
    <w:rsid w:val="352F1E92"/>
    <w:rsid w:val="353763F9"/>
    <w:rsid w:val="353C79F3"/>
    <w:rsid w:val="353F5F9A"/>
    <w:rsid w:val="35600779"/>
    <w:rsid w:val="35657FED"/>
    <w:rsid w:val="35976ED7"/>
    <w:rsid w:val="35977693"/>
    <w:rsid w:val="35980087"/>
    <w:rsid w:val="35B84DAB"/>
    <w:rsid w:val="35C52894"/>
    <w:rsid w:val="35D07049"/>
    <w:rsid w:val="35F036ED"/>
    <w:rsid w:val="35FB5BA7"/>
    <w:rsid w:val="36021E5F"/>
    <w:rsid w:val="36327AC4"/>
    <w:rsid w:val="3634601F"/>
    <w:rsid w:val="36496AF6"/>
    <w:rsid w:val="36547421"/>
    <w:rsid w:val="365E6403"/>
    <w:rsid w:val="367251E5"/>
    <w:rsid w:val="36826596"/>
    <w:rsid w:val="36903B9D"/>
    <w:rsid w:val="369736C3"/>
    <w:rsid w:val="36C301B0"/>
    <w:rsid w:val="36C40C39"/>
    <w:rsid w:val="36C95739"/>
    <w:rsid w:val="36D6243D"/>
    <w:rsid w:val="36DE6128"/>
    <w:rsid w:val="36DE6652"/>
    <w:rsid w:val="36F01751"/>
    <w:rsid w:val="36FD0B04"/>
    <w:rsid w:val="370275A1"/>
    <w:rsid w:val="3709636F"/>
    <w:rsid w:val="370C2D55"/>
    <w:rsid w:val="370E7E29"/>
    <w:rsid w:val="37215DAE"/>
    <w:rsid w:val="372633C5"/>
    <w:rsid w:val="372F7F54"/>
    <w:rsid w:val="37425D25"/>
    <w:rsid w:val="374754B1"/>
    <w:rsid w:val="374E45F3"/>
    <w:rsid w:val="37624933"/>
    <w:rsid w:val="37710FF7"/>
    <w:rsid w:val="377870D5"/>
    <w:rsid w:val="378C7B63"/>
    <w:rsid w:val="37C01AB5"/>
    <w:rsid w:val="37C357B7"/>
    <w:rsid w:val="37C8480D"/>
    <w:rsid w:val="38107733"/>
    <w:rsid w:val="38156F95"/>
    <w:rsid w:val="38246750"/>
    <w:rsid w:val="382A0C93"/>
    <w:rsid w:val="382E7411"/>
    <w:rsid w:val="38552071"/>
    <w:rsid w:val="385F25BB"/>
    <w:rsid w:val="386609E8"/>
    <w:rsid w:val="387B2A25"/>
    <w:rsid w:val="38997BC6"/>
    <w:rsid w:val="38A0575D"/>
    <w:rsid w:val="38A14437"/>
    <w:rsid w:val="38AC16A8"/>
    <w:rsid w:val="38B577A9"/>
    <w:rsid w:val="38B74C05"/>
    <w:rsid w:val="38CC421D"/>
    <w:rsid w:val="38D16635"/>
    <w:rsid w:val="38D373E7"/>
    <w:rsid w:val="38FA57F0"/>
    <w:rsid w:val="3936186D"/>
    <w:rsid w:val="395104A1"/>
    <w:rsid w:val="39514E0B"/>
    <w:rsid w:val="39566F53"/>
    <w:rsid w:val="395941C6"/>
    <w:rsid w:val="39693A3D"/>
    <w:rsid w:val="397905D6"/>
    <w:rsid w:val="39864DE3"/>
    <w:rsid w:val="39976270"/>
    <w:rsid w:val="399C32F4"/>
    <w:rsid w:val="399D5638"/>
    <w:rsid w:val="39B41C18"/>
    <w:rsid w:val="39B653E7"/>
    <w:rsid w:val="39C538F9"/>
    <w:rsid w:val="39CF5727"/>
    <w:rsid w:val="39D210D0"/>
    <w:rsid w:val="39D31839"/>
    <w:rsid w:val="39D7425E"/>
    <w:rsid w:val="39F2758E"/>
    <w:rsid w:val="39F82FB1"/>
    <w:rsid w:val="3A086DB2"/>
    <w:rsid w:val="3A1C273B"/>
    <w:rsid w:val="3A255D6F"/>
    <w:rsid w:val="3A291776"/>
    <w:rsid w:val="3A2B2AA0"/>
    <w:rsid w:val="3A30455A"/>
    <w:rsid w:val="3A43382A"/>
    <w:rsid w:val="3A51108A"/>
    <w:rsid w:val="3A5C534F"/>
    <w:rsid w:val="3A604CCB"/>
    <w:rsid w:val="3A667F7C"/>
    <w:rsid w:val="3A6711EA"/>
    <w:rsid w:val="3A6B021B"/>
    <w:rsid w:val="3A6C27C7"/>
    <w:rsid w:val="3A7D77A0"/>
    <w:rsid w:val="3A7E7CFE"/>
    <w:rsid w:val="3A95616C"/>
    <w:rsid w:val="3AB03D58"/>
    <w:rsid w:val="3AC0143A"/>
    <w:rsid w:val="3AE72E6B"/>
    <w:rsid w:val="3AF31112"/>
    <w:rsid w:val="3AF71C4F"/>
    <w:rsid w:val="3B0C28E2"/>
    <w:rsid w:val="3B325752"/>
    <w:rsid w:val="3B4113F9"/>
    <w:rsid w:val="3B4503AF"/>
    <w:rsid w:val="3B4B164C"/>
    <w:rsid w:val="3B4C0F20"/>
    <w:rsid w:val="3B4F0A10"/>
    <w:rsid w:val="3B5E513D"/>
    <w:rsid w:val="3B6E2308"/>
    <w:rsid w:val="3B700B9E"/>
    <w:rsid w:val="3B7A70C3"/>
    <w:rsid w:val="3B8C568A"/>
    <w:rsid w:val="3B8C6B52"/>
    <w:rsid w:val="3B9265F7"/>
    <w:rsid w:val="3BB36501"/>
    <w:rsid w:val="3BC10F8A"/>
    <w:rsid w:val="3BCA0430"/>
    <w:rsid w:val="3BD66A3C"/>
    <w:rsid w:val="3BDC3F68"/>
    <w:rsid w:val="3BDD601C"/>
    <w:rsid w:val="3BE21884"/>
    <w:rsid w:val="3C0D7BA2"/>
    <w:rsid w:val="3C1464E6"/>
    <w:rsid w:val="3C1F3B0A"/>
    <w:rsid w:val="3C2F5079"/>
    <w:rsid w:val="3C3814A4"/>
    <w:rsid w:val="3C3D7460"/>
    <w:rsid w:val="3C616C4D"/>
    <w:rsid w:val="3C6248AD"/>
    <w:rsid w:val="3C795D45"/>
    <w:rsid w:val="3C820BF8"/>
    <w:rsid w:val="3C9A772E"/>
    <w:rsid w:val="3CB974FB"/>
    <w:rsid w:val="3CD16A6C"/>
    <w:rsid w:val="3CFC0724"/>
    <w:rsid w:val="3CFF2A56"/>
    <w:rsid w:val="3D015D3A"/>
    <w:rsid w:val="3D083C3D"/>
    <w:rsid w:val="3D0F0BF5"/>
    <w:rsid w:val="3D254DA7"/>
    <w:rsid w:val="3D31435C"/>
    <w:rsid w:val="3D367754"/>
    <w:rsid w:val="3D4D01FD"/>
    <w:rsid w:val="3D8116F1"/>
    <w:rsid w:val="3D842DB5"/>
    <w:rsid w:val="3D927E3F"/>
    <w:rsid w:val="3DB345FF"/>
    <w:rsid w:val="3DB41B96"/>
    <w:rsid w:val="3DD76D85"/>
    <w:rsid w:val="3DD83ABF"/>
    <w:rsid w:val="3DD86A9B"/>
    <w:rsid w:val="3DDA437C"/>
    <w:rsid w:val="3DEE4511"/>
    <w:rsid w:val="3DF461A3"/>
    <w:rsid w:val="3E03072B"/>
    <w:rsid w:val="3E0B6234"/>
    <w:rsid w:val="3E0C4997"/>
    <w:rsid w:val="3E104487"/>
    <w:rsid w:val="3E1516BF"/>
    <w:rsid w:val="3E201151"/>
    <w:rsid w:val="3E54572C"/>
    <w:rsid w:val="3E600BB4"/>
    <w:rsid w:val="3E704F26"/>
    <w:rsid w:val="3E726EF0"/>
    <w:rsid w:val="3E8A2129"/>
    <w:rsid w:val="3E8C3990"/>
    <w:rsid w:val="3EA90437"/>
    <w:rsid w:val="3EC534C3"/>
    <w:rsid w:val="3EDA4D3F"/>
    <w:rsid w:val="3F0B745A"/>
    <w:rsid w:val="3F1708AB"/>
    <w:rsid w:val="3F8A0269"/>
    <w:rsid w:val="3F8A3D39"/>
    <w:rsid w:val="3F8D0174"/>
    <w:rsid w:val="3F95226A"/>
    <w:rsid w:val="3F987717"/>
    <w:rsid w:val="3FD23300"/>
    <w:rsid w:val="3FF47042"/>
    <w:rsid w:val="3FF54785"/>
    <w:rsid w:val="3FFC0AB7"/>
    <w:rsid w:val="3FFF0B26"/>
    <w:rsid w:val="4001677D"/>
    <w:rsid w:val="400445D6"/>
    <w:rsid w:val="4015659C"/>
    <w:rsid w:val="401D268F"/>
    <w:rsid w:val="40271F5C"/>
    <w:rsid w:val="403D5DB4"/>
    <w:rsid w:val="40444047"/>
    <w:rsid w:val="40452250"/>
    <w:rsid w:val="40501155"/>
    <w:rsid w:val="405229A9"/>
    <w:rsid w:val="40534AFF"/>
    <w:rsid w:val="406D3E12"/>
    <w:rsid w:val="408175F7"/>
    <w:rsid w:val="40955117"/>
    <w:rsid w:val="409E45E2"/>
    <w:rsid w:val="40A52125"/>
    <w:rsid w:val="40AE436A"/>
    <w:rsid w:val="40B61FF8"/>
    <w:rsid w:val="40C7171A"/>
    <w:rsid w:val="40D724A1"/>
    <w:rsid w:val="40DB5220"/>
    <w:rsid w:val="40E72D37"/>
    <w:rsid w:val="40E8793D"/>
    <w:rsid w:val="40EF4827"/>
    <w:rsid w:val="4114603C"/>
    <w:rsid w:val="413E57AF"/>
    <w:rsid w:val="415A1391"/>
    <w:rsid w:val="415E5B0A"/>
    <w:rsid w:val="41801923"/>
    <w:rsid w:val="41965A41"/>
    <w:rsid w:val="41970D49"/>
    <w:rsid w:val="41A25D3E"/>
    <w:rsid w:val="41B92A4F"/>
    <w:rsid w:val="41C964B4"/>
    <w:rsid w:val="41D13F2D"/>
    <w:rsid w:val="41D517BE"/>
    <w:rsid w:val="41D5429B"/>
    <w:rsid w:val="41F92ABD"/>
    <w:rsid w:val="41FC1B6A"/>
    <w:rsid w:val="42332E3A"/>
    <w:rsid w:val="423C4D26"/>
    <w:rsid w:val="42416CF7"/>
    <w:rsid w:val="424D1C7F"/>
    <w:rsid w:val="425846A6"/>
    <w:rsid w:val="426137A1"/>
    <w:rsid w:val="42624E34"/>
    <w:rsid w:val="427F218F"/>
    <w:rsid w:val="42840AD6"/>
    <w:rsid w:val="42870A90"/>
    <w:rsid w:val="428B63CF"/>
    <w:rsid w:val="42AF67D0"/>
    <w:rsid w:val="42BC0E70"/>
    <w:rsid w:val="42C245CE"/>
    <w:rsid w:val="42C35F6C"/>
    <w:rsid w:val="42CE53D3"/>
    <w:rsid w:val="42CF6F4F"/>
    <w:rsid w:val="42DD0E52"/>
    <w:rsid w:val="42F25C9A"/>
    <w:rsid w:val="43055AE1"/>
    <w:rsid w:val="430976F7"/>
    <w:rsid w:val="431A0C24"/>
    <w:rsid w:val="43284021"/>
    <w:rsid w:val="432D1637"/>
    <w:rsid w:val="43386236"/>
    <w:rsid w:val="434E1C20"/>
    <w:rsid w:val="43620283"/>
    <w:rsid w:val="4363286E"/>
    <w:rsid w:val="437101AA"/>
    <w:rsid w:val="43741014"/>
    <w:rsid w:val="43A73BE3"/>
    <w:rsid w:val="43AE7A7E"/>
    <w:rsid w:val="43B01826"/>
    <w:rsid w:val="43C7383A"/>
    <w:rsid w:val="43CA157C"/>
    <w:rsid w:val="43CF502D"/>
    <w:rsid w:val="43E8521C"/>
    <w:rsid w:val="43FD36FF"/>
    <w:rsid w:val="440B02B4"/>
    <w:rsid w:val="441C5080"/>
    <w:rsid w:val="44233849"/>
    <w:rsid w:val="44496945"/>
    <w:rsid w:val="446B500C"/>
    <w:rsid w:val="448508DF"/>
    <w:rsid w:val="44BF18A2"/>
    <w:rsid w:val="44CF71AB"/>
    <w:rsid w:val="44E23735"/>
    <w:rsid w:val="44E26451"/>
    <w:rsid w:val="44E67CEF"/>
    <w:rsid w:val="44EA77F7"/>
    <w:rsid w:val="4517434D"/>
    <w:rsid w:val="45357785"/>
    <w:rsid w:val="45387766"/>
    <w:rsid w:val="453A760F"/>
    <w:rsid w:val="45491A3E"/>
    <w:rsid w:val="45503B28"/>
    <w:rsid w:val="45853082"/>
    <w:rsid w:val="45857508"/>
    <w:rsid w:val="45891F3C"/>
    <w:rsid w:val="4590274A"/>
    <w:rsid w:val="45905EAD"/>
    <w:rsid w:val="45A32084"/>
    <w:rsid w:val="45A8769B"/>
    <w:rsid w:val="45C344D5"/>
    <w:rsid w:val="45C864B7"/>
    <w:rsid w:val="45D264C6"/>
    <w:rsid w:val="45ED50AE"/>
    <w:rsid w:val="45FD0891"/>
    <w:rsid w:val="46185D52"/>
    <w:rsid w:val="46192347"/>
    <w:rsid w:val="46252A99"/>
    <w:rsid w:val="462C285E"/>
    <w:rsid w:val="4639249F"/>
    <w:rsid w:val="463A0304"/>
    <w:rsid w:val="464A4975"/>
    <w:rsid w:val="465670F7"/>
    <w:rsid w:val="4665558C"/>
    <w:rsid w:val="467C2D95"/>
    <w:rsid w:val="46805F22"/>
    <w:rsid w:val="468477C0"/>
    <w:rsid w:val="4689127A"/>
    <w:rsid w:val="4695468D"/>
    <w:rsid w:val="469A6A31"/>
    <w:rsid w:val="46C73B51"/>
    <w:rsid w:val="46CA3A9F"/>
    <w:rsid w:val="46D83FB0"/>
    <w:rsid w:val="46F25071"/>
    <w:rsid w:val="471553B4"/>
    <w:rsid w:val="471E6457"/>
    <w:rsid w:val="471F398D"/>
    <w:rsid w:val="47232D85"/>
    <w:rsid w:val="475F6267"/>
    <w:rsid w:val="4760207C"/>
    <w:rsid w:val="4766336A"/>
    <w:rsid w:val="47743C9D"/>
    <w:rsid w:val="478657BA"/>
    <w:rsid w:val="478B55A3"/>
    <w:rsid w:val="47906F17"/>
    <w:rsid w:val="479A7A31"/>
    <w:rsid w:val="479B1699"/>
    <w:rsid w:val="479B3721"/>
    <w:rsid w:val="47A10846"/>
    <w:rsid w:val="47AF51BF"/>
    <w:rsid w:val="47B81E12"/>
    <w:rsid w:val="47C12FC5"/>
    <w:rsid w:val="47D03B18"/>
    <w:rsid w:val="47DB1D58"/>
    <w:rsid w:val="47ED29D3"/>
    <w:rsid w:val="47EF74A3"/>
    <w:rsid w:val="47F50C9B"/>
    <w:rsid w:val="480C5CBF"/>
    <w:rsid w:val="480F1D14"/>
    <w:rsid w:val="4834394A"/>
    <w:rsid w:val="48390A7E"/>
    <w:rsid w:val="48515DC8"/>
    <w:rsid w:val="48531B40"/>
    <w:rsid w:val="485A65F3"/>
    <w:rsid w:val="48987720"/>
    <w:rsid w:val="489B34E7"/>
    <w:rsid w:val="489D4A92"/>
    <w:rsid w:val="48AA0D47"/>
    <w:rsid w:val="48AB437A"/>
    <w:rsid w:val="48B63E7D"/>
    <w:rsid w:val="48BB5E99"/>
    <w:rsid w:val="48C7608A"/>
    <w:rsid w:val="48E704DA"/>
    <w:rsid w:val="48E709AB"/>
    <w:rsid w:val="48FD1AAC"/>
    <w:rsid w:val="49074129"/>
    <w:rsid w:val="491C4628"/>
    <w:rsid w:val="491E413A"/>
    <w:rsid w:val="492B5D1A"/>
    <w:rsid w:val="49356195"/>
    <w:rsid w:val="493E72F4"/>
    <w:rsid w:val="49477CA3"/>
    <w:rsid w:val="495105E0"/>
    <w:rsid w:val="495530D2"/>
    <w:rsid w:val="495D4FB7"/>
    <w:rsid w:val="495F0F47"/>
    <w:rsid w:val="497F0713"/>
    <w:rsid w:val="49850611"/>
    <w:rsid w:val="49902920"/>
    <w:rsid w:val="499C3073"/>
    <w:rsid w:val="49B4660E"/>
    <w:rsid w:val="49E47F0A"/>
    <w:rsid w:val="4A221E06"/>
    <w:rsid w:val="4A2C05A1"/>
    <w:rsid w:val="4A487A49"/>
    <w:rsid w:val="4A563B69"/>
    <w:rsid w:val="4A661827"/>
    <w:rsid w:val="4A77137D"/>
    <w:rsid w:val="4A995804"/>
    <w:rsid w:val="4A9D3546"/>
    <w:rsid w:val="4AAA5C63"/>
    <w:rsid w:val="4AAC19DB"/>
    <w:rsid w:val="4ABE4002"/>
    <w:rsid w:val="4AD3789D"/>
    <w:rsid w:val="4AE61558"/>
    <w:rsid w:val="4AE629A4"/>
    <w:rsid w:val="4AF93679"/>
    <w:rsid w:val="4B1E0386"/>
    <w:rsid w:val="4B2B6DA4"/>
    <w:rsid w:val="4B327DA5"/>
    <w:rsid w:val="4B483ECE"/>
    <w:rsid w:val="4B4D5DE5"/>
    <w:rsid w:val="4B53713F"/>
    <w:rsid w:val="4B5918B4"/>
    <w:rsid w:val="4B5E178B"/>
    <w:rsid w:val="4B7A3887"/>
    <w:rsid w:val="4B7D53C9"/>
    <w:rsid w:val="4B85293F"/>
    <w:rsid w:val="4B902502"/>
    <w:rsid w:val="4B9B344B"/>
    <w:rsid w:val="4BA44460"/>
    <w:rsid w:val="4BDB55FA"/>
    <w:rsid w:val="4BF70A34"/>
    <w:rsid w:val="4C017B05"/>
    <w:rsid w:val="4C0849EF"/>
    <w:rsid w:val="4C125927"/>
    <w:rsid w:val="4C3A3FC8"/>
    <w:rsid w:val="4C3D55C6"/>
    <w:rsid w:val="4C520360"/>
    <w:rsid w:val="4C583BC9"/>
    <w:rsid w:val="4C667A5B"/>
    <w:rsid w:val="4C823BCA"/>
    <w:rsid w:val="4C8C73CE"/>
    <w:rsid w:val="4C9F1330"/>
    <w:rsid w:val="4CA23096"/>
    <w:rsid w:val="4CAB3457"/>
    <w:rsid w:val="4CAF57B3"/>
    <w:rsid w:val="4CD82614"/>
    <w:rsid w:val="4CEA67EB"/>
    <w:rsid w:val="4CF124C7"/>
    <w:rsid w:val="4CF70170"/>
    <w:rsid w:val="4CF907DC"/>
    <w:rsid w:val="4CFA619E"/>
    <w:rsid w:val="4CFD777A"/>
    <w:rsid w:val="4D043409"/>
    <w:rsid w:val="4D201110"/>
    <w:rsid w:val="4D3431C7"/>
    <w:rsid w:val="4D526F59"/>
    <w:rsid w:val="4D650150"/>
    <w:rsid w:val="4D7F0CE1"/>
    <w:rsid w:val="4D981DA3"/>
    <w:rsid w:val="4D9A5B1B"/>
    <w:rsid w:val="4D9C7AE5"/>
    <w:rsid w:val="4DA229B3"/>
    <w:rsid w:val="4DB35F12"/>
    <w:rsid w:val="4DE03AC2"/>
    <w:rsid w:val="4DEF02BD"/>
    <w:rsid w:val="4DFB0EC4"/>
    <w:rsid w:val="4E0336C0"/>
    <w:rsid w:val="4E0D72D8"/>
    <w:rsid w:val="4E125FF9"/>
    <w:rsid w:val="4E214868"/>
    <w:rsid w:val="4E274307"/>
    <w:rsid w:val="4E383ED6"/>
    <w:rsid w:val="4E3B5C73"/>
    <w:rsid w:val="4E560D60"/>
    <w:rsid w:val="4E564593"/>
    <w:rsid w:val="4E703F51"/>
    <w:rsid w:val="4E802F63"/>
    <w:rsid w:val="4E8A5B90"/>
    <w:rsid w:val="4E942C0A"/>
    <w:rsid w:val="4E98220D"/>
    <w:rsid w:val="4EA67471"/>
    <w:rsid w:val="4EB7399D"/>
    <w:rsid w:val="4EB96475"/>
    <w:rsid w:val="4EC372F3"/>
    <w:rsid w:val="4ECD2716"/>
    <w:rsid w:val="4ED35788"/>
    <w:rsid w:val="4EE73AF5"/>
    <w:rsid w:val="4EE84EA5"/>
    <w:rsid w:val="4EEE4AF5"/>
    <w:rsid w:val="4F0B544D"/>
    <w:rsid w:val="4F0C0C9A"/>
    <w:rsid w:val="4F165675"/>
    <w:rsid w:val="4F301FB1"/>
    <w:rsid w:val="4F473A81"/>
    <w:rsid w:val="4F4F7329"/>
    <w:rsid w:val="4F5260B5"/>
    <w:rsid w:val="4F545BC3"/>
    <w:rsid w:val="4F5543EF"/>
    <w:rsid w:val="4F56624C"/>
    <w:rsid w:val="4F58224C"/>
    <w:rsid w:val="4F5A7FFE"/>
    <w:rsid w:val="4F5B752C"/>
    <w:rsid w:val="4F5F701C"/>
    <w:rsid w:val="4F846A83"/>
    <w:rsid w:val="4F8B2726"/>
    <w:rsid w:val="4F8B4457"/>
    <w:rsid w:val="4FA41146"/>
    <w:rsid w:val="4FA90297"/>
    <w:rsid w:val="4FD80B7D"/>
    <w:rsid w:val="4FDA01F8"/>
    <w:rsid w:val="4FE561E5"/>
    <w:rsid w:val="4FF221C3"/>
    <w:rsid w:val="4FF27E90"/>
    <w:rsid w:val="4FF5172F"/>
    <w:rsid w:val="4FFA0634"/>
    <w:rsid w:val="500032A2"/>
    <w:rsid w:val="50146059"/>
    <w:rsid w:val="504E08AD"/>
    <w:rsid w:val="50575F45"/>
    <w:rsid w:val="505C4D01"/>
    <w:rsid w:val="506F4A92"/>
    <w:rsid w:val="507419FE"/>
    <w:rsid w:val="507C1E50"/>
    <w:rsid w:val="508B1CA1"/>
    <w:rsid w:val="50901457"/>
    <w:rsid w:val="509E5922"/>
    <w:rsid w:val="50A54F03"/>
    <w:rsid w:val="50AA168D"/>
    <w:rsid w:val="50AF4B30"/>
    <w:rsid w:val="50BC5CDC"/>
    <w:rsid w:val="50CA2BBB"/>
    <w:rsid w:val="50E74C38"/>
    <w:rsid w:val="50FC089B"/>
    <w:rsid w:val="50FD0D89"/>
    <w:rsid w:val="50FE2865"/>
    <w:rsid w:val="51024103"/>
    <w:rsid w:val="51025571"/>
    <w:rsid w:val="51071719"/>
    <w:rsid w:val="510819A0"/>
    <w:rsid w:val="51200E5F"/>
    <w:rsid w:val="5123009E"/>
    <w:rsid w:val="512C2CA7"/>
    <w:rsid w:val="512D289E"/>
    <w:rsid w:val="514152FB"/>
    <w:rsid w:val="51434ED1"/>
    <w:rsid w:val="514D0397"/>
    <w:rsid w:val="51595CED"/>
    <w:rsid w:val="516445A0"/>
    <w:rsid w:val="518956A9"/>
    <w:rsid w:val="51E101BC"/>
    <w:rsid w:val="521D4F6D"/>
    <w:rsid w:val="523A416D"/>
    <w:rsid w:val="52490C2A"/>
    <w:rsid w:val="5253273C"/>
    <w:rsid w:val="525505B5"/>
    <w:rsid w:val="5261544F"/>
    <w:rsid w:val="529414C0"/>
    <w:rsid w:val="52A01E26"/>
    <w:rsid w:val="52A52223"/>
    <w:rsid w:val="52B97CAE"/>
    <w:rsid w:val="52C504FB"/>
    <w:rsid w:val="52DC6BD6"/>
    <w:rsid w:val="52E13756"/>
    <w:rsid w:val="52E65840"/>
    <w:rsid w:val="52EF5C2D"/>
    <w:rsid w:val="52EF6909"/>
    <w:rsid w:val="52F47582"/>
    <w:rsid w:val="5311687F"/>
    <w:rsid w:val="531E71EE"/>
    <w:rsid w:val="5322283B"/>
    <w:rsid w:val="53230361"/>
    <w:rsid w:val="536270DB"/>
    <w:rsid w:val="5371534A"/>
    <w:rsid w:val="53720C63"/>
    <w:rsid w:val="53764934"/>
    <w:rsid w:val="537700D3"/>
    <w:rsid w:val="537A4622"/>
    <w:rsid w:val="53811681"/>
    <w:rsid w:val="538A520F"/>
    <w:rsid w:val="53933E3F"/>
    <w:rsid w:val="53AC4A7F"/>
    <w:rsid w:val="53B418CC"/>
    <w:rsid w:val="53F32910"/>
    <w:rsid w:val="53F4098D"/>
    <w:rsid w:val="53FC3AD9"/>
    <w:rsid w:val="53FE04C8"/>
    <w:rsid w:val="54206BE2"/>
    <w:rsid w:val="54297BB6"/>
    <w:rsid w:val="542B571F"/>
    <w:rsid w:val="54336DD4"/>
    <w:rsid w:val="543660C2"/>
    <w:rsid w:val="54375971"/>
    <w:rsid w:val="54453F00"/>
    <w:rsid w:val="544D196D"/>
    <w:rsid w:val="54723C7D"/>
    <w:rsid w:val="5478326E"/>
    <w:rsid w:val="547F6951"/>
    <w:rsid w:val="54854CE2"/>
    <w:rsid w:val="548965FC"/>
    <w:rsid w:val="548E5CAE"/>
    <w:rsid w:val="54905064"/>
    <w:rsid w:val="54931516"/>
    <w:rsid w:val="549F015A"/>
    <w:rsid w:val="54AF503F"/>
    <w:rsid w:val="54B25E40"/>
    <w:rsid w:val="54D730B0"/>
    <w:rsid w:val="54E812EA"/>
    <w:rsid w:val="54F76B5C"/>
    <w:rsid w:val="55020A87"/>
    <w:rsid w:val="550341FE"/>
    <w:rsid w:val="55042014"/>
    <w:rsid w:val="55210479"/>
    <w:rsid w:val="552A209A"/>
    <w:rsid w:val="55393BB8"/>
    <w:rsid w:val="55517407"/>
    <w:rsid w:val="55614C5E"/>
    <w:rsid w:val="556C5FEF"/>
    <w:rsid w:val="5572737D"/>
    <w:rsid w:val="55823A64"/>
    <w:rsid w:val="558C2621"/>
    <w:rsid w:val="55AD3652"/>
    <w:rsid w:val="55B9606B"/>
    <w:rsid w:val="55DE0E54"/>
    <w:rsid w:val="55EE4C56"/>
    <w:rsid w:val="55FF52A6"/>
    <w:rsid w:val="5633198E"/>
    <w:rsid w:val="563E5469"/>
    <w:rsid w:val="565A053D"/>
    <w:rsid w:val="566919C6"/>
    <w:rsid w:val="566C5546"/>
    <w:rsid w:val="56745BC9"/>
    <w:rsid w:val="568832FC"/>
    <w:rsid w:val="56907775"/>
    <w:rsid w:val="56C1236A"/>
    <w:rsid w:val="56CD56FA"/>
    <w:rsid w:val="56CF2CF8"/>
    <w:rsid w:val="56E34EAC"/>
    <w:rsid w:val="57016C0B"/>
    <w:rsid w:val="570203D1"/>
    <w:rsid w:val="571159E3"/>
    <w:rsid w:val="571D3ABE"/>
    <w:rsid w:val="571F6B78"/>
    <w:rsid w:val="57340D8E"/>
    <w:rsid w:val="57452F9B"/>
    <w:rsid w:val="57645BA3"/>
    <w:rsid w:val="576A1B6C"/>
    <w:rsid w:val="57805D82"/>
    <w:rsid w:val="579001D7"/>
    <w:rsid w:val="57936854"/>
    <w:rsid w:val="579848F6"/>
    <w:rsid w:val="57A22474"/>
    <w:rsid w:val="57AF0A2B"/>
    <w:rsid w:val="57C43A36"/>
    <w:rsid w:val="57F62116"/>
    <w:rsid w:val="580746F5"/>
    <w:rsid w:val="58101705"/>
    <w:rsid w:val="58335AD6"/>
    <w:rsid w:val="58346B6C"/>
    <w:rsid w:val="584265A5"/>
    <w:rsid w:val="58564D34"/>
    <w:rsid w:val="58707FAE"/>
    <w:rsid w:val="58733B38"/>
    <w:rsid w:val="58801DB1"/>
    <w:rsid w:val="58895B35"/>
    <w:rsid w:val="58906498"/>
    <w:rsid w:val="58C83D7C"/>
    <w:rsid w:val="58E7744A"/>
    <w:rsid w:val="59012EF2"/>
    <w:rsid w:val="5909370D"/>
    <w:rsid w:val="590D48EB"/>
    <w:rsid w:val="59495353"/>
    <w:rsid w:val="594B0611"/>
    <w:rsid w:val="594D4389"/>
    <w:rsid w:val="595D2922"/>
    <w:rsid w:val="59634E7E"/>
    <w:rsid w:val="597265E6"/>
    <w:rsid w:val="59943D66"/>
    <w:rsid w:val="5996188C"/>
    <w:rsid w:val="59A85569"/>
    <w:rsid w:val="59A90DF6"/>
    <w:rsid w:val="59B8686F"/>
    <w:rsid w:val="59B86AAB"/>
    <w:rsid w:val="59BF5B8E"/>
    <w:rsid w:val="59D027D3"/>
    <w:rsid w:val="59DE0C7A"/>
    <w:rsid w:val="59F04D56"/>
    <w:rsid w:val="59FD5DAF"/>
    <w:rsid w:val="5A125C89"/>
    <w:rsid w:val="5A417D7A"/>
    <w:rsid w:val="5A4C2893"/>
    <w:rsid w:val="5A4F7A61"/>
    <w:rsid w:val="5A6279C1"/>
    <w:rsid w:val="5A690D4F"/>
    <w:rsid w:val="5A77291D"/>
    <w:rsid w:val="5A852ECF"/>
    <w:rsid w:val="5A9C1659"/>
    <w:rsid w:val="5AA026B8"/>
    <w:rsid w:val="5AA116D7"/>
    <w:rsid w:val="5AAC7C87"/>
    <w:rsid w:val="5AB26B9A"/>
    <w:rsid w:val="5ADA1FF9"/>
    <w:rsid w:val="5AE821DA"/>
    <w:rsid w:val="5AED557F"/>
    <w:rsid w:val="5AF20641"/>
    <w:rsid w:val="5AFD1904"/>
    <w:rsid w:val="5B1552F3"/>
    <w:rsid w:val="5B2B4256"/>
    <w:rsid w:val="5B2C0607"/>
    <w:rsid w:val="5B3034F1"/>
    <w:rsid w:val="5B424CC5"/>
    <w:rsid w:val="5B4672E2"/>
    <w:rsid w:val="5B57504B"/>
    <w:rsid w:val="5B597015"/>
    <w:rsid w:val="5B63362E"/>
    <w:rsid w:val="5B755268"/>
    <w:rsid w:val="5B7B51DE"/>
    <w:rsid w:val="5B88241C"/>
    <w:rsid w:val="5B90055D"/>
    <w:rsid w:val="5B9C2FC5"/>
    <w:rsid w:val="5BA54987"/>
    <w:rsid w:val="5BA65FD3"/>
    <w:rsid w:val="5BC86521"/>
    <w:rsid w:val="5BDC51D2"/>
    <w:rsid w:val="5BDE39BF"/>
    <w:rsid w:val="5C082709"/>
    <w:rsid w:val="5C11169E"/>
    <w:rsid w:val="5C14060C"/>
    <w:rsid w:val="5C180F45"/>
    <w:rsid w:val="5C182A2D"/>
    <w:rsid w:val="5C2E582C"/>
    <w:rsid w:val="5C4C1E77"/>
    <w:rsid w:val="5C7639BC"/>
    <w:rsid w:val="5C981DBF"/>
    <w:rsid w:val="5CA13925"/>
    <w:rsid w:val="5CBC5AAE"/>
    <w:rsid w:val="5CD12F06"/>
    <w:rsid w:val="5CD85C43"/>
    <w:rsid w:val="5CF7084F"/>
    <w:rsid w:val="5D02548B"/>
    <w:rsid w:val="5D0273FA"/>
    <w:rsid w:val="5D147937"/>
    <w:rsid w:val="5D1634FA"/>
    <w:rsid w:val="5D2733FE"/>
    <w:rsid w:val="5D2A0341"/>
    <w:rsid w:val="5D521F6E"/>
    <w:rsid w:val="5D614E5A"/>
    <w:rsid w:val="5D7A4EBD"/>
    <w:rsid w:val="5D7B2AFB"/>
    <w:rsid w:val="5D9D4948"/>
    <w:rsid w:val="5DA07441"/>
    <w:rsid w:val="5DAB5B22"/>
    <w:rsid w:val="5DC34C1A"/>
    <w:rsid w:val="5DC664B8"/>
    <w:rsid w:val="5DCD5EDE"/>
    <w:rsid w:val="5DDB01B6"/>
    <w:rsid w:val="5DDD01B0"/>
    <w:rsid w:val="5DE227D8"/>
    <w:rsid w:val="5DEE4FE1"/>
    <w:rsid w:val="5E040F9B"/>
    <w:rsid w:val="5E163DAD"/>
    <w:rsid w:val="5E18199F"/>
    <w:rsid w:val="5E276BBA"/>
    <w:rsid w:val="5E4A34BA"/>
    <w:rsid w:val="5E5166CA"/>
    <w:rsid w:val="5E572B7B"/>
    <w:rsid w:val="5E622685"/>
    <w:rsid w:val="5E6230CD"/>
    <w:rsid w:val="5E837070"/>
    <w:rsid w:val="5E916EEA"/>
    <w:rsid w:val="5EB629D1"/>
    <w:rsid w:val="5ED929BD"/>
    <w:rsid w:val="5EE004CC"/>
    <w:rsid w:val="5EEF44C3"/>
    <w:rsid w:val="5EF64B87"/>
    <w:rsid w:val="5EFE24CD"/>
    <w:rsid w:val="5F1E02ED"/>
    <w:rsid w:val="5F5335CE"/>
    <w:rsid w:val="5F5F0972"/>
    <w:rsid w:val="5F6123D2"/>
    <w:rsid w:val="5F6E604F"/>
    <w:rsid w:val="5F781A34"/>
    <w:rsid w:val="5F7C6175"/>
    <w:rsid w:val="5F8C113D"/>
    <w:rsid w:val="5F9E149B"/>
    <w:rsid w:val="5F9E76ED"/>
    <w:rsid w:val="5FA55B60"/>
    <w:rsid w:val="5FB55859"/>
    <w:rsid w:val="5FEB2206"/>
    <w:rsid w:val="5FEE6A48"/>
    <w:rsid w:val="6028198E"/>
    <w:rsid w:val="602C2F4B"/>
    <w:rsid w:val="60457B68"/>
    <w:rsid w:val="605C4EB2"/>
    <w:rsid w:val="6060214E"/>
    <w:rsid w:val="6071387E"/>
    <w:rsid w:val="608C5797"/>
    <w:rsid w:val="60932B78"/>
    <w:rsid w:val="60B1182C"/>
    <w:rsid w:val="60B54E5F"/>
    <w:rsid w:val="60B60A66"/>
    <w:rsid w:val="60D67EB5"/>
    <w:rsid w:val="60E72435"/>
    <w:rsid w:val="60F12408"/>
    <w:rsid w:val="60F915AE"/>
    <w:rsid w:val="61085853"/>
    <w:rsid w:val="611834CF"/>
    <w:rsid w:val="61186844"/>
    <w:rsid w:val="61196AEE"/>
    <w:rsid w:val="611D2893"/>
    <w:rsid w:val="612015DC"/>
    <w:rsid w:val="6138147B"/>
    <w:rsid w:val="613D3456"/>
    <w:rsid w:val="61482832"/>
    <w:rsid w:val="615C785F"/>
    <w:rsid w:val="6161246C"/>
    <w:rsid w:val="61742A83"/>
    <w:rsid w:val="617901B4"/>
    <w:rsid w:val="617A09D3"/>
    <w:rsid w:val="617A6407"/>
    <w:rsid w:val="617E2BD9"/>
    <w:rsid w:val="619C7C5C"/>
    <w:rsid w:val="61A66D2D"/>
    <w:rsid w:val="61A92379"/>
    <w:rsid w:val="61AB7F4F"/>
    <w:rsid w:val="61BA27D8"/>
    <w:rsid w:val="61BC7327"/>
    <w:rsid w:val="61D513C0"/>
    <w:rsid w:val="61F12BA4"/>
    <w:rsid w:val="61FC795F"/>
    <w:rsid w:val="62035F2D"/>
    <w:rsid w:val="62265778"/>
    <w:rsid w:val="622A0453"/>
    <w:rsid w:val="62347E94"/>
    <w:rsid w:val="62554D7B"/>
    <w:rsid w:val="62782477"/>
    <w:rsid w:val="62870321"/>
    <w:rsid w:val="6287090C"/>
    <w:rsid w:val="62892F39"/>
    <w:rsid w:val="62A52639"/>
    <w:rsid w:val="62AE5E99"/>
    <w:rsid w:val="62C313EC"/>
    <w:rsid w:val="62C751AC"/>
    <w:rsid w:val="62D2532D"/>
    <w:rsid w:val="62D32926"/>
    <w:rsid w:val="62E775FD"/>
    <w:rsid w:val="62EB1C80"/>
    <w:rsid w:val="62F11E84"/>
    <w:rsid w:val="6306529F"/>
    <w:rsid w:val="631D7704"/>
    <w:rsid w:val="63224191"/>
    <w:rsid w:val="632B7CB6"/>
    <w:rsid w:val="632C5010"/>
    <w:rsid w:val="632D6A8C"/>
    <w:rsid w:val="63326075"/>
    <w:rsid w:val="63577595"/>
    <w:rsid w:val="63666773"/>
    <w:rsid w:val="636D1281"/>
    <w:rsid w:val="63921C8F"/>
    <w:rsid w:val="63974B7F"/>
    <w:rsid w:val="639F7B81"/>
    <w:rsid w:val="63A252D2"/>
    <w:rsid w:val="63B56648"/>
    <w:rsid w:val="63BE7F46"/>
    <w:rsid w:val="63C546CA"/>
    <w:rsid w:val="63D43500"/>
    <w:rsid w:val="63E36016"/>
    <w:rsid w:val="64177A6E"/>
    <w:rsid w:val="64191A38"/>
    <w:rsid w:val="64463885"/>
    <w:rsid w:val="6468651B"/>
    <w:rsid w:val="646C6942"/>
    <w:rsid w:val="64754C21"/>
    <w:rsid w:val="648101EB"/>
    <w:rsid w:val="648F5856"/>
    <w:rsid w:val="64966BE4"/>
    <w:rsid w:val="64C649E5"/>
    <w:rsid w:val="64C971FC"/>
    <w:rsid w:val="64D17A33"/>
    <w:rsid w:val="64E536C8"/>
    <w:rsid w:val="6507446B"/>
    <w:rsid w:val="651F176C"/>
    <w:rsid w:val="651F307E"/>
    <w:rsid w:val="65243799"/>
    <w:rsid w:val="653730AD"/>
    <w:rsid w:val="65473BE4"/>
    <w:rsid w:val="654823B1"/>
    <w:rsid w:val="65670581"/>
    <w:rsid w:val="656E5DB3"/>
    <w:rsid w:val="65835BB3"/>
    <w:rsid w:val="658B7760"/>
    <w:rsid w:val="659514FA"/>
    <w:rsid w:val="65A71B0C"/>
    <w:rsid w:val="65AC2438"/>
    <w:rsid w:val="65B4203E"/>
    <w:rsid w:val="65BE6761"/>
    <w:rsid w:val="65C562C1"/>
    <w:rsid w:val="65DA30E2"/>
    <w:rsid w:val="65DC0944"/>
    <w:rsid w:val="65EB1B83"/>
    <w:rsid w:val="65EE7177"/>
    <w:rsid w:val="65FC3D56"/>
    <w:rsid w:val="660A61FF"/>
    <w:rsid w:val="6635457B"/>
    <w:rsid w:val="663B78CC"/>
    <w:rsid w:val="665E1984"/>
    <w:rsid w:val="66645598"/>
    <w:rsid w:val="66713242"/>
    <w:rsid w:val="66A57E71"/>
    <w:rsid w:val="66B75538"/>
    <w:rsid w:val="66BD4460"/>
    <w:rsid w:val="66C7577B"/>
    <w:rsid w:val="66D47A94"/>
    <w:rsid w:val="66E4759D"/>
    <w:rsid w:val="674B4F4A"/>
    <w:rsid w:val="674E19F8"/>
    <w:rsid w:val="67656D42"/>
    <w:rsid w:val="676A3DA6"/>
    <w:rsid w:val="676C1E7F"/>
    <w:rsid w:val="67773A51"/>
    <w:rsid w:val="679805D8"/>
    <w:rsid w:val="67BC3FEE"/>
    <w:rsid w:val="67CA7544"/>
    <w:rsid w:val="67D35A63"/>
    <w:rsid w:val="67D477F8"/>
    <w:rsid w:val="67F24A7A"/>
    <w:rsid w:val="67F325A0"/>
    <w:rsid w:val="67FF7C3A"/>
    <w:rsid w:val="68016A6B"/>
    <w:rsid w:val="680B5C35"/>
    <w:rsid w:val="6829477F"/>
    <w:rsid w:val="682F4FA9"/>
    <w:rsid w:val="68310698"/>
    <w:rsid w:val="68323C50"/>
    <w:rsid w:val="68376A2A"/>
    <w:rsid w:val="685A617B"/>
    <w:rsid w:val="686332F5"/>
    <w:rsid w:val="68646588"/>
    <w:rsid w:val="686E1C26"/>
    <w:rsid w:val="688232C2"/>
    <w:rsid w:val="68843A78"/>
    <w:rsid w:val="68996CA3"/>
    <w:rsid w:val="689F0599"/>
    <w:rsid w:val="68B43376"/>
    <w:rsid w:val="68B7537B"/>
    <w:rsid w:val="68DC3034"/>
    <w:rsid w:val="68DC4DE2"/>
    <w:rsid w:val="68F053F6"/>
    <w:rsid w:val="68F14D31"/>
    <w:rsid w:val="68F43A1E"/>
    <w:rsid w:val="69085BD7"/>
    <w:rsid w:val="69145603"/>
    <w:rsid w:val="692A1FF1"/>
    <w:rsid w:val="69423186"/>
    <w:rsid w:val="69432BE1"/>
    <w:rsid w:val="694D728A"/>
    <w:rsid w:val="69594684"/>
    <w:rsid w:val="697F233D"/>
    <w:rsid w:val="6988057F"/>
    <w:rsid w:val="699906A2"/>
    <w:rsid w:val="69A973BA"/>
    <w:rsid w:val="69AC12C2"/>
    <w:rsid w:val="69C40A40"/>
    <w:rsid w:val="69C411D0"/>
    <w:rsid w:val="69C62FFA"/>
    <w:rsid w:val="69D16911"/>
    <w:rsid w:val="69D501AF"/>
    <w:rsid w:val="69D86C6D"/>
    <w:rsid w:val="69E4001D"/>
    <w:rsid w:val="69FA48D7"/>
    <w:rsid w:val="69FF347E"/>
    <w:rsid w:val="6A0D6DC9"/>
    <w:rsid w:val="6A2B6021"/>
    <w:rsid w:val="6A4A19BA"/>
    <w:rsid w:val="6A564EBF"/>
    <w:rsid w:val="6A645FFB"/>
    <w:rsid w:val="6A6A2D90"/>
    <w:rsid w:val="6A701056"/>
    <w:rsid w:val="6A7A24EF"/>
    <w:rsid w:val="6A7E361E"/>
    <w:rsid w:val="6A9A2282"/>
    <w:rsid w:val="6ABB292C"/>
    <w:rsid w:val="6AC46CE5"/>
    <w:rsid w:val="6ACD0D45"/>
    <w:rsid w:val="6ACF10A2"/>
    <w:rsid w:val="6AE82164"/>
    <w:rsid w:val="6AEA4CF9"/>
    <w:rsid w:val="6AEA7C8A"/>
    <w:rsid w:val="6AF1726A"/>
    <w:rsid w:val="6AFE0C80"/>
    <w:rsid w:val="6B144D07"/>
    <w:rsid w:val="6B2A0779"/>
    <w:rsid w:val="6B2B1D80"/>
    <w:rsid w:val="6B3D3548"/>
    <w:rsid w:val="6B664EB6"/>
    <w:rsid w:val="6B841E8D"/>
    <w:rsid w:val="6BA87D31"/>
    <w:rsid w:val="6BB72998"/>
    <w:rsid w:val="6BBC73BD"/>
    <w:rsid w:val="6BC066B1"/>
    <w:rsid w:val="6BC8789F"/>
    <w:rsid w:val="6BEE37AA"/>
    <w:rsid w:val="6C0B1660"/>
    <w:rsid w:val="6C164AAF"/>
    <w:rsid w:val="6C256AA0"/>
    <w:rsid w:val="6C2C7E2E"/>
    <w:rsid w:val="6C523D39"/>
    <w:rsid w:val="6C533915"/>
    <w:rsid w:val="6C5506F2"/>
    <w:rsid w:val="6C7F31BE"/>
    <w:rsid w:val="6C8859AD"/>
    <w:rsid w:val="6CD91C0E"/>
    <w:rsid w:val="6CE01353"/>
    <w:rsid w:val="6CEA7AAC"/>
    <w:rsid w:val="6CF00E6E"/>
    <w:rsid w:val="6CF35CFC"/>
    <w:rsid w:val="6CF546C4"/>
    <w:rsid w:val="6CFA25E1"/>
    <w:rsid w:val="6CFE5C6F"/>
    <w:rsid w:val="6D2553A0"/>
    <w:rsid w:val="6D3F29A1"/>
    <w:rsid w:val="6D651DF3"/>
    <w:rsid w:val="6D6A3304"/>
    <w:rsid w:val="6D8D0DA1"/>
    <w:rsid w:val="6D995916"/>
    <w:rsid w:val="6D9E263C"/>
    <w:rsid w:val="6DB8406F"/>
    <w:rsid w:val="6DC26C9C"/>
    <w:rsid w:val="6DD658EE"/>
    <w:rsid w:val="6DD864C0"/>
    <w:rsid w:val="6DDD6E36"/>
    <w:rsid w:val="6DEC1C21"/>
    <w:rsid w:val="6E152319"/>
    <w:rsid w:val="6E3B0BAF"/>
    <w:rsid w:val="6E3E0629"/>
    <w:rsid w:val="6E45554E"/>
    <w:rsid w:val="6E501AEB"/>
    <w:rsid w:val="6E5E5CA6"/>
    <w:rsid w:val="6E7C11B5"/>
    <w:rsid w:val="6E7C32EF"/>
    <w:rsid w:val="6E7F556F"/>
    <w:rsid w:val="6E997C25"/>
    <w:rsid w:val="6E9F07E1"/>
    <w:rsid w:val="6EA14A30"/>
    <w:rsid w:val="6EA42846"/>
    <w:rsid w:val="6EB6105A"/>
    <w:rsid w:val="6EBA00D3"/>
    <w:rsid w:val="6EBD1212"/>
    <w:rsid w:val="6EC629FF"/>
    <w:rsid w:val="6EC7282F"/>
    <w:rsid w:val="6EC922AC"/>
    <w:rsid w:val="6ED21161"/>
    <w:rsid w:val="6F04413C"/>
    <w:rsid w:val="6F1C104C"/>
    <w:rsid w:val="6F255735"/>
    <w:rsid w:val="6F26499B"/>
    <w:rsid w:val="6F2F3282"/>
    <w:rsid w:val="6F35524C"/>
    <w:rsid w:val="6F467459"/>
    <w:rsid w:val="6F587A8E"/>
    <w:rsid w:val="6F5A7044"/>
    <w:rsid w:val="6F5D5506"/>
    <w:rsid w:val="6F600C59"/>
    <w:rsid w:val="6F7E2770"/>
    <w:rsid w:val="6F7F4719"/>
    <w:rsid w:val="6F800BBD"/>
    <w:rsid w:val="6F8776A7"/>
    <w:rsid w:val="6F8B4A66"/>
    <w:rsid w:val="6F957D21"/>
    <w:rsid w:val="6FA57C2A"/>
    <w:rsid w:val="6FC8405E"/>
    <w:rsid w:val="6FD175F7"/>
    <w:rsid w:val="6FD26F3F"/>
    <w:rsid w:val="6FD95378"/>
    <w:rsid w:val="6FEA24DA"/>
    <w:rsid w:val="6FF23B80"/>
    <w:rsid w:val="6FF670D1"/>
    <w:rsid w:val="70180DF5"/>
    <w:rsid w:val="701B6B38"/>
    <w:rsid w:val="703C1CAA"/>
    <w:rsid w:val="703E1108"/>
    <w:rsid w:val="704B7EBD"/>
    <w:rsid w:val="705B0CE2"/>
    <w:rsid w:val="7073427E"/>
    <w:rsid w:val="707F7FC1"/>
    <w:rsid w:val="70830694"/>
    <w:rsid w:val="7092075C"/>
    <w:rsid w:val="70AF49AD"/>
    <w:rsid w:val="70E234A9"/>
    <w:rsid w:val="70F257E2"/>
    <w:rsid w:val="712D7A96"/>
    <w:rsid w:val="71334F8E"/>
    <w:rsid w:val="713C2BF3"/>
    <w:rsid w:val="713F6856"/>
    <w:rsid w:val="71526589"/>
    <w:rsid w:val="715517E0"/>
    <w:rsid w:val="71682CDB"/>
    <w:rsid w:val="717C301D"/>
    <w:rsid w:val="718B55F7"/>
    <w:rsid w:val="719E17CE"/>
    <w:rsid w:val="71AC3CA8"/>
    <w:rsid w:val="71E67530"/>
    <w:rsid w:val="71F27DA7"/>
    <w:rsid w:val="71F552A8"/>
    <w:rsid w:val="71FB09CF"/>
    <w:rsid w:val="71FD3369"/>
    <w:rsid w:val="7208350E"/>
    <w:rsid w:val="72264502"/>
    <w:rsid w:val="72332BB4"/>
    <w:rsid w:val="723358B2"/>
    <w:rsid w:val="72363B93"/>
    <w:rsid w:val="72366F69"/>
    <w:rsid w:val="72534367"/>
    <w:rsid w:val="72546CCC"/>
    <w:rsid w:val="72571A57"/>
    <w:rsid w:val="72981E43"/>
    <w:rsid w:val="729D3834"/>
    <w:rsid w:val="729F57FE"/>
    <w:rsid w:val="72A66B8C"/>
    <w:rsid w:val="72AD5CE4"/>
    <w:rsid w:val="72BB344D"/>
    <w:rsid w:val="72BD396A"/>
    <w:rsid w:val="72EA334F"/>
    <w:rsid w:val="72ED47BB"/>
    <w:rsid w:val="730B241D"/>
    <w:rsid w:val="7325797A"/>
    <w:rsid w:val="734C24BD"/>
    <w:rsid w:val="734D525A"/>
    <w:rsid w:val="7357002D"/>
    <w:rsid w:val="73576104"/>
    <w:rsid w:val="7358775B"/>
    <w:rsid w:val="737A3B75"/>
    <w:rsid w:val="73815738"/>
    <w:rsid w:val="738B18DE"/>
    <w:rsid w:val="739F3A97"/>
    <w:rsid w:val="73AF1694"/>
    <w:rsid w:val="73B673EF"/>
    <w:rsid w:val="73BC5F3C"/>
    <w:rsid w:val="73F02366"/>
    <w:rsid w:val="7419338E"/>
    <w:rsid w:val="742254DD"/>
    <w:rsid w:val="7437180D"/>
    <w:rsid w:val="74391D4B"/>
    <w:rsid w:val="74483CFE"/>
    <w:rsid w:val="744B0DA7"/>
    <w:rsid w:val="744D3074"/>
    <w:rsid w:val="74624CC6"/>
    <w:rsid w:val="746A5AD3"/>
    <w:rsid w:val="74723306"/>
    <w:rsid w:val="747A2CC8"/>
    <w:rsid w:val="747F3641"/>
    <w:rsid w:val="74B579B7"/>
    <w:rsid w:val="74B9011A"/>
    <w:rsid w:val="74BB7061"/>
    <w:rsid w:val="74BD640F"/>
    <w:rsid w:val="74CE3EB2"/>
    <w:rsid w:val="74E0065A"/>
    <w:rsid w:val="74E82D21"/>
    <w:rsid w:val="74EF5E2E"/>
    <w:rsid w:val="74F82FA3"/>
    <w:rsid w:val="750E03C1"/>
    <w:rsid w:val="751C6251"/>
    <w:rsid w:val="751E470B"/>
    <w:rsid w:val="753D7B6A"/>
    <w:rsid w:val="754026A2"/>
    <w:rsid w:val="75404391"/>
    <w:rsid w:val="754226B0"/>
    <w:rsid w:val="75662603"/>
    <w:rsid w:val="75670772"/>
    <w:rsid w:val="757A60AE"/>
    <w:rsid w:val="757C44C8"/>
    <w:rsid w:val="759A09C5"/>
    <w:rsid w:val="75A6427E"/>
    <w:rsid w:val="75B243A7"/>
    <w:rsid w:val="75CA0DE4"/>
    <w:rsid w:val="75DE6DB1"/>
    <w:rsid w:val="75E1612D"/>
    <w:rsid w:val="75E572CF"/>
    <w:rsid w:val="75FB07A2"/>
    <w:rsid w:val="761375E4"/>
    <w:rsid w:val="7621477C"/>
    <w:rsid w:val="76217478"/>
    <w:rsid w:val="763C572C"/>
    <w:rsid w:val="765608C9"/>
    <w:rsid w:val="7666354F"/>
    <w:rsid w:val="766B6ECD"/>
    <w:rsid w:val="76855EB9"/>
    <w:rsid w:val="768A26FB"/>
    <w:rsid w:val="7692691E"/>
    <w:rsid w:val="76996365"/>
    <w:rsid w:val="769A10D0"/>
    <w:rsid w:val="76A07D97"/>
    <w:rsid w:val="76C2349E"/>
    <w:rsid w:val="76CB35EC"/>
    <w:rsid w:val="76CE66B2"/>
    <w:rsid w:val="76D054CE"/>
    <w:rsid w:val="77040C67"/>
    <w:rsid w:val="770B16B4"/>
    <w:rsid w:val="77112A42"/>
    <w:rsid w:val="77167266"/>
    <w:rsid w:val="77260AF8"/>
    <w:rsid w:val="773B587C"/>
    <w:rsid w:val="774271F2"/>
    <w:rsid w:val="77453760"/>
    <w:rsid w:val="774845AD"/>
    <w:rsid w:val="774E4E52"/>
    <w:rsid w:val="77653D55"/>
    <w:rsid w:val="776A7D9F"/>
    <w:rsid w:val="77734AD9"/>
    <w:rsid w:val="77767106"/>
    <w:rsid w:val="777C7EBC"/>
    <w:rsid w:val="778B45A3"/>
    <w:rsid w:val="77A25449"/>
    <w:rsid w:val="77AB2363"/>
    <w:rsid w:val="77F3466D"/>
    <w:rsid w:val="780127F5"/>
    <w:rsid w:val="78047EB1"/>
    <w:rsid w:val="7822274B"/>
    <w:rsid w:val="7840608D"/>
    <w:rsid w:val="78494C44"/>
    <w:rsid w:val="78594455"/>
    <w:rsid w:val="78786AB3"/>
    <w:rsid w:val="78882890"/>
    <w:rsid w:val="78911745"/>
    <w:rsid w:val="78955947"/>
    <w:rsid w:val="78AA588F"/>
    <w:rsid w:val="78B065B0"/>
    <w:rsid w:val="78B83176"/>
    <w:rsid w:val="78BB7662"/>
    <w:rsid w:val="78C33E4A"/>
    <w:rsid w:val="7901119D"/>
    <w:rsid w:val="790D3EA5"/>
    <w:rsid w:val="791B2495"/>
    <w:rsid w:val="791D2A50"/>
    <w:rsid w:val="79366F18"/>
    <w:rsid w:val="79393B8B"/>
    <w:rsid w:val="79432736"/>
    <w:rsid w:val="794C7D62"/>
    <w:rsid w:val="795B1D53"/>
    <w:rsid w:val="79660E81"/>
    <w:rsid w:val="797940FE"/>
    <w:rsid w:val="79813945"/>
    <w:rsid w:val="79AA4A14"/>
    <w:rsid w:val="79B17BC5"/>
    <w:rsid w:val="79B63FC9"/>
    <w:rsid w:val="79DE02DD"/>
    <w:rsid w:val="79E07E40"/>
    <w:rsid w:val="79EB5D1B"/>
    <w:rsid w:val="79F71A7C"/>
    <w:rsid w:val="79FC52E4"/>
    <w:rsid w:val="79FC6182"/>
    <w:rsid w:val="79FD2E0A"/>
    <w:rsid w:val="7A0A6F4F"/>
    <w:rsid w:val="7A1A1C0E"/>
    <w:rsid w:val="7A1B0D74"/>
    <w:rsid w:val="7A41363F"/>
    <w:rsid w:val="7A456F6D"/>
    <w:rsid w:val="7A5F16CA"/>
    <w:rsid w:val="7A710D8E"/>
    <w:rsid w:val="7AAA2F92"/>
    <w:rsid w:val="7AB1300F"/>
    <w:rsid w:val="7AB64E52"/>
    <w:rsid w:val="7ADA0EA4"/>
    <w:rsid w:val="7AE75FBC"/>
    <w:rsid w:val="7AFC56DC"/>
    <w:rsid w:val="7AFE508C"/>
    <w:rsid w:val="7B073F40"/>
    <w:rsid w:val="7B0D3216"/>
    <w:rsid w:val="7B345398"/>
    <w:rsid w:val="7B355131"/>
    <w:rsid w:val="7B4F7695"/>
    <w:rsid w:val="7B590C27"/>
    <w:rsid w:val="7B615D46"/>
    <w:rsid w:val="7B6C5EAB"/>
    <w:rsid w:val="7B7814A8"/>
    <w:rsid w:val="7B861DF2"/>
    <w:rsid w:val="7BA33013"/>
    <w:rsid w:val="7BD209F2"/>
    <w:rsid w:val="7BF702E8"/>
    <w:rsid w:val="7BFA0FA5"/>
    <w:rsid w:val="7BFE2BF5"/>
    <w:rsid w:val="7C0B3F04"/>
    <w:rsid w:val="7C134B67"/>
    <w:rsid w:val="7C162A9E"/>
    <w:rsid w:val="7C177BEA"/>
    <w:rsid w:val="7C1903CF"/>
    <w:rsid w:val="7C1D1542"/>
    <w:rsid w:val="7C206AB7"/>
    <w:rsid w:val="7C8646F6"/>
    <w:rsid w:val="7C876A78"/>
    <w:rsid w:val="7C9B46D0"/>
    <w:rsid w:val="7CA3413D"/>
    <w:rsid w:val="7CA95B93"/>
    <w:rsid w:val="7CBC0850"/>
    <w:rsid w:val="7CD3681B"/>
    <w:rsid w:val="7CD9190C"/>
    <w:rsid w:val="7CD97B5E"/>
    <w:rsid w:val="7CF20DD2"/>
    <w:rsid w:val="7CFF7134"/>
    <w:rsid w:val="7D0D49BE"/>
    <w:rsid w:val="7D621902"/>
    <w:rsid w:val="7D8603E2"/>
    <w:rsid w:val="7D9C553A"/>
    <w:rsid w:val="7DC9372F"/>
    <w:rsid w:val="7DD0508B"/>
    <w:rsid w:val="7DE4119D"/>
    <w:rsid w:val="7DEE5B58"/>
    <w:rsid w:val="7E0B1390"/>
    <w:rsid w:val="7E1470DA"/>
    <w:rsid w:val="7E2B13AE"/>
    <w:rsid w:val="7E321DB6"/>
    <w:rsid w:val="7E53749D"/>
    <w:rsid w:val="7E5C45A3"/>
    <w:rsid w:val="7E6B2A38"/>
    <w:rsid w:val="7EA224D8"/>
    <w:rsid w:val="7ED03245"/>
    <w:rsid w:val="7ED25E9B"/>
    <w:rsid w:val="7ED37D6E"/>
    <w:rsid w:val="7F2F7F0A"/>
    <w:rsid w:val="7F7D2EBD"/>
    <w:rsid w:val="7F8846F0"/>
    <w:rsid w:val="7F9D30C5"/>
    <w:rsid w:val="7FA04963"/>
    <w:rsid w:val="7FA73F44"/>
    <w:rsid w:val="7FAD2052"/>
    <w:rsid w:val="7FB0411E"/>
    <w:rsid w:val="7FCA5021"/>
    <w:rsid w:val="7FEA3B6F"/>
    <w:rsid w:val="7FEE5147"/>
    <w:rsid w:val="7FF32CE5"/>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38</Pages>
  <Words>12462</Words>
  <Characters>15045</Characters>
  <Paragraphs>501</Paragraphs>
  <TotalTime>1</TotalTime>
  <ScaleCrop>false</ScaleCrop>
  <LinksUpToDate>false</LinksUpToDate>
  <CharactersWithSpaces>15588</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2021-04-16T03:22:00Z</dcterms:created>
  <dc:creator>陈长军(本处室套红)</dc:creator>
  <cp:lastModifiedBy>Administrator</cp:lastModifiedBy>
  <dcterms:modified xsi:type="dcterms:W3CDTF">2023-11-09T10:17:46Z</dcterms:modified>
  <dc:title>部门决算公开</dc:title>
  <cp:revision>175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041CEDE16E704132A262A2696A7A625A_13</vt:lpwstr>
  </property>
  <property fmtid="{D5CDD505-2E9C-101B-9397-08002B2CF9AE}" pid="5" name="KSOProductBuildVer">
    <vt:lpwstr>2052-11.1.0.14309</vt:lpwstr>
  </property>
  <property fmtid="{D5CDD505-2E9C-101B-9397-08002B2CF9AE}" pid="6" name="LastSaved">
    <vt:filetime>2021-04-15T00:00:00Z</vt:filetime>
  </property>
</Properties>
</file>