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line="360" w:lineRule="auto"/>
        <w:ind w:right="504" w:rightChars="229"/>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南通市人力资源和社会保障局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部门</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color w:val="000000"/>
                <w:sz w:val="22"/>
                <w:szCs w:val="22"/>
                <w:lang w:eastAsia="ar-SA"/>
              </w:rPr>
              <w:t>南通市人力资源和社会保障局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ascii="仿宋" w:hAnsi="仿宋" w:eastAsia="仿宋" w:cs="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60,799.30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608.92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3,834.17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7,410.41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21,980.38</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147.92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29,189.44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567.65</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157.02</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4,868.96</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64,781.39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64,782.78</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349.38</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347.99</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65,130.77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65,130.77</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注：本表反映本年度的总收支和年末结转结余情况。本表金额单位转换时可能存在尾数误差。</w:t>
      </w:r>
    </w:p>
    <w:p>
      <w:pPr>
        <w:widowControl w:val="0"/>
        <w:suppressAutoHyphens/>
        <w:bidi w:val="0"/>
        <w:spacing w:before="66" w:after="0"/>
        <w:ind w:right="0"/>
        <w:jc w:val="both"/>
        <w:rPr>
          <w:rFonts w:hint="eastAsia" w:ascii="仿宋" w:hAnsi="仿宋" w:eastAsia="仿宋" w:cs="仿宋"/>
          <w:b w:val="0"/>
          <w:bCs w:val="0"/>
          <w:color w:val="000000"/>
          <w:sz w:val="22"/>
          <w:szCs w:val="22"/>
        </w:rPr>
        <w:sectPr>
          <w:headerReference r:id="rId4" w:type="default"/>
          <w:footerReference r:id="rId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64,781.39</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60,799.30</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1,897.78</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1,936.39</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147.92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608.92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608.92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人大事务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0.62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组织事务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608.30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608.30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2013250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608.30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608.30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教育支出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7,410.41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5,512.63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1,897.78</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7,311.51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5,413.73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1,897.78</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7.25</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技校教育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380.03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348.17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31.86</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2050305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高等职业教育</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6,924.23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5,065.56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1,858.67</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2050999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其他教育费附加安排的支出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98.90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21,980.38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21,980.38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21,980.38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21,980.38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21,980.38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21,980.38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29,189.44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27,105.13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1,936.39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147.92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人力资源和社会保障管理事务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14,958.56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14,806.84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147.92</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9,552.82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9,552.82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一般行政管理事务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192.39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192.39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社会保险经办机构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336.36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公共就业服务和职业技能鉴定机构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655.35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655.35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政府特殊津贴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34.08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34.08</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引进人才费用</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2080150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其他人力资源和社会保障管理事务支出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4,050.97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3,933.33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3.80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113.84</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12,256.99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12,256.99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社会保险补贴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8,034.77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8,034.77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2080711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就业见习补贴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319.59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319.59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高技能人才培养补助</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147.46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147.46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其他就业补助支出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3,755.17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3,755.17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1,973.89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1,932.59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1,973.89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41.30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1,932.59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农林水支出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566.26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566.26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普惠金融发展支出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566.26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566.26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2130804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创业担保贷款贴息及奖补</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566.26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566.26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其他商业服务业等支出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157.02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157.02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4,868.96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4,868.96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4,868.96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4,868.96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1,986.94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1,986.94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2,861.23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2,861.23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20.79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本表反映本年度取得的各项收入情况。本表金额单位转换时可能存在尾数误差。</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6"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64,782.78</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21,897.89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42,884.89</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608.92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人大事务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2010102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0.62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组织事务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2013250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608.30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教育支出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7,410.41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5,647.27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1,763.14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7,311.51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5,647.27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1,664.24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7.25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技校教育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380.03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2050305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高等职业教育</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6,924.23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5,647.27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1,276.96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2050999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其他教育费附加安排的支出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98.90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21,980.38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21,980.38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21,980.38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21,980.38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21,980.38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21,980.38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29,189.44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10,773.36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18,416.08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人力资源和社会保障管理事务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14,958.56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10,773.36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4,185.20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9,552.82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8,633.83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918.99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一般行政管理事务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192.39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社会保险经办机构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336.36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287.30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49.06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公共就业服务和职业技能鉴定机构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655.35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475.37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179.98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2080113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政府特殊津贴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34.08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引进人才费用</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97.00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2080150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39.59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其他人力资源和社会保障管理事务支出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4,050.97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1,337.27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2,713.70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就业补助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12,256.99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12,256.99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社会保险补贴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8,034.77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8,034.77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2080711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就业见习补贴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319.59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319.59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高技能人才培养补助</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147.46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147.46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2080799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其他就业补助支出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3,755.17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3,755.17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1,973.89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1,973.89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1,973.89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1,973.89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农林水支出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567.65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普惠金融发展支出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567.65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2130804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创业担保贷款贴息及奖补</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567.65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567.65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其他商业服务业等支出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157.02</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157.02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4,868.96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4,868.96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4,868.96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4,868.96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1,986.94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1,986.94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2,861.23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2,861.23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20.79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注：本表反映本年度各项支出情况。本表金额单位转换时可能存在尾数误差。</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7"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南通市人力资源和社会保障局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60,799.30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608.92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608.92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5,512.63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5,512.63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27,105.13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27,105.13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4,868.96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4,868.96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60,799.30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60,800.69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60,800.69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349.38</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347.99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347.99</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349.38</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61,148.68</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61,148.68</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61,148.68</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本表反映本年度一般公共预算财政拨款、政府性基金预算财政拨款和国有资本经营预算财政拨款的总收支和年末结转结余情况。本表金额单位转换时可能存在尾数误差。</w:t>
      </w:r>
    </w:p>
    <w:p>
      <w:pPr>
        <w:jc w:val="both"/>
        <w:rPr>
          <w:rFonts w:hint="eastAsia" w:ascii="仿宋" w:hAnsi="仿宋" w:eastAsia="仿宋" w:cs="仿宋"/>
          <w:b w:val="0"/>
          <w:bCs w:val="0"/>
        </w:rPr>
        <w:sectPr>
          <w:footerReference r:id="rId8"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60,800.69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21,194.72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39,605.97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608.92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人大事务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0.62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组织事务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2013250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608.30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5,512.63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4,944.10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568.53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5,413.73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4,944.10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469.63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技校教育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2050305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高等职业教育</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5,065.56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4,944.10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其他教育费附加安排的支出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98.90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21,980.38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27,105.13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10,773.36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16,331.77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人力资源和社会保障管理事务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14,806.84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10,773.36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4,033.48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9,552.82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8,633.83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918.99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一般行政管理事务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192.39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社会保险经办机构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336.36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287.30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公共就业服务和职业技能鉴定机构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655.35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475.37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179.98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引进人才费用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2080150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其他人力资源和社会保障管理事务支出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3,933.33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1,337.27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2,596.06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12,256.99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12,256.99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社会保险补贴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8,034.77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8,034.77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就业见习补贴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319.59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高技能人才培养补助</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147.46</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其他就业补助支出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3,755.17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3,755.17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41.30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普惠金融发展支出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创业担保贷款贴息及奖补</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567.65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其他商业服务业等支出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157.02</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4,868.96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4,868.96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4,868.96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4,868.96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1,986.94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1,986.94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2,861.23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2,861.23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20.79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注：本表反映本年度一般公共预算财政拨款、政府性基金预算财政拨款和国有资本经营预算财政拨款支出情况。本表金额单位转换时可能存在尾数误差。</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sz w:val="22"/>
                <w:szCs w:val="22"/>
              </w:rPr>
              <w:t>南通市人力资源和社会保障局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21,194.72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19,973.11</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1,221.61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18,684.31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18,684.31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3,278.55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3,278.55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4,736.71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450.29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638.18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2,290.36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3,409.32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3,409.32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98.52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239.31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239.31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1,288.80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1,288.80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861.16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注：本表反映本年度一般公共预算财政拨款、政府性基金预算财政拨款和国有资本经营预算财政拨款基本支出情况。本表金额单位转换时可能存在尾数误差。</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0"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60,800.69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21,194.72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39,605.97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608.92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人大事务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组织事务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2013250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608.30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教育支出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5,512.63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4,944.10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568.53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5,413.73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4,944.10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469.63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技校教育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348.17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2050305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高等职业教育</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5,065.56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4,944.10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2050999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其他教育费附加安排的支出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98.90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21,980.38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21,980.38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21,980.38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21,980.38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21,980.38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21,980.38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27,105.13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10,773.36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16,331.77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人力资源和社会保障管理事务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14,806.84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10,773.36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4,033.48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9,552.82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8,633.83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918.99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一般行政管理事务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192.39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社会保险经办机构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336.36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287.30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公共就业服务和职业技能鉴定机构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655.35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475.37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179.98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引进人才费用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2080150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39.59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其他人力资源和社会保障管理事务支出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3,933.33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1,337.27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2,596.06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12,256.99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12,256.99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社会保险补贴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8,034.77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8,034.77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2080711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就业见习补贴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319.59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319.59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2080712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高技能人才培养补助</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147.46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147.46</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其他就业补助支出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3,755.17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3,755.17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41.30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农林水支出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普惠金融发展支出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2130804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创业担保贷款贴息及奖补</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567.65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567.65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其他商业服务业等支出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157.02</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4,868.96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4,868.96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4,868.96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4,868.96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1,986.94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1,986.94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2,861.23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2,861.23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20.79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1"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21,194.72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19,973.11</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1,221.61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18,684.31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18,684.31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3,278.55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3,278.55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4,736.71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4,736.71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1,976.12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695.08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1,085.32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450.29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450.29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638.18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638.18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2,290.36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2,290.36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3,409.32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3,409.32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1,221.31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184.22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9.19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6.23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98.52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218.41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239.31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239.31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1,288.80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1,288.80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88.00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861.16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861.16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64.57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46.24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0.10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注：本表反映本年度一般公共预算财政拨款基本支出情况。本表金额单位转换时可能存在尾数误差。</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2"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39.01</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24.01</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99.99</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147.21</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19.20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11.43</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11.43</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7.77</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64.84</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95.14</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76</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411</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707</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11,063</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80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6,485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b w:val="0"/>
          <w:bCs w:val="0"/>
          <w:sz w:val="22"/>
          <w:szCs w:val="22"/>
        </w:rPr>
        <w:t>。</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3"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本部门无政府性基金预算收入支出决算，故本表为空。</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ascii="仿宋" w:hAnsi="仿宋" w:eastAsia="仿宋" w:cs="仿宋"/>
          <w:sz w:val="22"/>
        </w:rPr>
        <w:t>本部门无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704.35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704.35</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122.72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11.82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27.63</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4.22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4.12</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19.48</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1.59</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69.24</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137.31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0.51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214.41</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91.30</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5"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名称：</w:t>
            </w:r>
            <w:r>
              <w:rPr>
                <w:rFonts w:hint="eastAsia" w:ascii="仿宋" w:hAnsi="仿宋" w:eastAsia="仿宋" w:cs="仿宋"/>
              </w:rPr>
              <w:t>南通市人力资源和社会保障局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2,810.56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2,565.58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53.12</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191.86</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118.48</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118.48</w:t>
            </w:r>
          </w:p>
        </w:tc>
      </w:tr>
    </w:tbl>
    <w:p>
      <w:pPr>
        <w:bidi w:val="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政府采购支出信息为单位纳入部门预算范围的各项政府采购支出情况。本表金额单位转换时可能存在尾数误差</w:t>
      </w:r>
      <w:r>
        <w:rPr>
          <w:rFonts w:hint="eastAsia" w:ascii="仿宋" w:hAnsi="仿宋" w:eastAsia="仿宋" w:cs="仿宋"/>
          <w:b w:val="0"/>
          <w:bCs w:val="0"/>
          <w:sz w:val="22"/>
          <w:szCs w:val="22"/>
        </w:rPr>
        <w:t>。</w:t>
      </w:r>
      <w:bookmarkStart w:id="0" w:name="_GoBack"/>
      <w:bookmarkEnd w:id="0"/>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right="504" w:rightChars="229"/>
        <w:jc w:val="both"/>
        <w:textAlignment w:val="auto"/>
        <w:rPr>
          <w:rFonts w:hint="eastAsia" w:ascii="仿宋" w:hAnsi="仿宋" w:eastAsia="仿宋" w:cs="仿宋"/>
        </w:rPr>
      </w:pP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0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uFb6c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pyfbb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NBmKszAEAAJ0DAAAOAAAAAAAAAAEAIAAAAB4BAABkcnMvZTJv&#10;RG9jLnhtbFBLBQYAAAAABgAGAFkBAABc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36fm8o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fmPUr1wN/tIzaRe0sVBtixMA4tsxsXLG3F43vOuvxU6/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F36fm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PXn8oBAACcAwAADgAAAGRycy9lMm9Eb2MueG1srVPNjtMwEL4j8Q6W&#10;79RpD2wV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cKPXn8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E/N7nM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2f7gKsoBAACcAwAADgAAAAAAAAABACAAAAAeAQAAZHJzL2Uyb0Rv&#10;Yy54bWxQSwUGAAAAAAYABgBZAQAAWg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U+CAckBAACd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ASVx3OLEL9+/XX78uvz8SpbV&#10;yyJRH6DGzIeAuWl44wdMz9JlP6AzMx9UtPmLnAjGEe18FVgOiYj8aL1arysMCYzNF8Rht+chQnor&#10;vSXZaGjECRZh+ek9pDF1TsnVnL/XxpQpGveXAzGzh916zFYa9sPU+N63Z+TT4/Ab6nDXKTHvHGqL&#10;/aXZiLOxn41jiPrQlUXK9SC8PiZsovSWK4ywU2GcWmE3bVheiz/vJev2V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hT4IByQEAAJ0DAAAOAAAAAAAAAAEAIAAAAB4BAABkcnMvZTJvRG9j&#10;LnhtbFBLBQYAAAAABgAGAFkBAABZ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tCG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PRSxbf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5fXgHLAQAAnQMAAA4AAAAAAAAAAQAgAAAAHgEAAGRycy9lMm9E&#10;b2MueG1sUEsFBgAAAAAGAAYAWQEAAFs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DFlYzgxYzcwY2MwNDg5YTkzM2Y3NmJmNTExZDg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630ED1"/>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0D1128"/>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dcterms:modified xsi:type="dcterms:W3CDTF">2023-09-22T06:56:33Z</dcterms:modified>
  <dc:title>部门决算公开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0F7DC70E0DB34832B7B1B1F5C8C5EA91_13</vt:lpwstr>
  </property>
  <property fmtid="{D5CDD505-2E9C-101B-9397-08002B2CF9AE}" pid="5" name="KSOProductBuildVer">
    <vt:lpwstr>2052-12.1.0.15374</vt:lpwstr>
  </property>
  <property fmtid="{D5CDD505-2E9C-101B-9397-08002B2CF9AE}" pid="6" name="LastSaved">
    <vt:filetime>2021-04-15T00:00:00Z</vt:filetime>
  </property>
</Properties>
</file>