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5"/>
          <w:rFonts w:hint="eastAsia" w:ascii="宋体" w:hAnsi="宋体" w:eastAsia="宋体" w:cs="宋体"/>
          <w:b/>
          <w:w w:val="80"/>
          <w:kern w:val="44"/>
          <w:sz w:val="36"/>
          <w:szCs w:val="36"/>
        </w:rPr>
      </w:pPr>
      <w:bookmarkStart w:id="0" w:name="_GoBack"/>
      <w:r>
        <w:rPr>
          <w:rStyle w:val="5"/>
          <w:rFonts w:hint="eastAsia" w:ascii="宋体" w:hAnsi="宋体" w:eastAsia="宋体" w:cs="宋体"/>
          <w:b/>
          <w:w w:val="80"/>
          <w:kern w:val="44"/>
          <w:sz w:val="36"/>
          <w:szCs w:val="36"/>
        </w:rPr>
        <w:t>南通市社会保险基金管理中心人社自助服务一体机采购项目</w:t>
      </w:r>
      <w:r>
        <w:rPr>
          <w:rStyle w:val="5"/>
          <w:rFonts w:hint="eastAsia" w:ascii="宋体" w:hAnsi="宋体" w:eastAsia="宋体" w:cs="宋体"/>
          <w:b/>
          <w:w w:val="80"/>
          <w:kern w:val="44"/>
          <w:sz w:val="36"/>
          <w:szCs w:val="36"/>
        </w:rPr>
        <w:t>需求</w:t>
      </w:r>
    </w:p>
    <w:bookmarkEnd w:id="0"/>
    <w:p>
      <w:pPr>
        <w:rPr>
          <w:rFonts w:ascii="宋体" w:hAnsi="宋体" w:eastAsia="宋体" w:cs="宋体"/>
          <w:sz w:val="21"/>
          <w:szCs w:val="21"/>
        </w:rPr>
      </w:pPr>
      <w:r>
        <w:rPr>
          <w:rFonts w:hint="eastAsia" w:ascii="宋体" w:hAnsi="宋体" w:eastAsia="宋体" w:cs="宋体"/>
          <w:sz w:val="21"/>
          <w:szCs w:val="21"/>
        </w:rPr>
        <w:t>一、项目概述：</w:t>
      </w:r>
    </w:p>
    <w:p>
      <w:pPr>
        <w:ind w:firstLine="420" w:firstLineChars="200"/>
        <w:rPr>
          <w:rFonts w:ascii="宋体" w:hAnsi="宋体" w:eastAsia="宋体" w:cs="宋体"/>
          <w:sz w:val="21"/>
          <w:szCs w:val="21"/>
        </w:rPr>
      </w:pPr>
      <w:r>
        <w:rPr>
          <w:rFonts w:hint="eastAsia" w:ascii="宋体" w:hAnsi="宋体" w:eastAsia="宋体" w:cs="宋体"/>
          <w:sz w:val="21"/>
          <w:szCs w:val="21"/>
        </w:rPr>
        <w:t>为适应省人社一体化平台建设，提高人社公共服务信息化、便利化水平，计划通过在市区（不含海门区）各政务服务中心社保窗口部署人社自助服务一体机，满足办事群众查询、打印个人参保信息等高频事项自助服务需求，同时提供各类人社政策查询以及业务告知服务，提升群众办事便捷度与满意度。</w:t>
      </w:r>
    </w:p>
    <w:p>
      <w:pPr>
        <w:rPr>
          <w:rFonts w:ascii="宋体" w:hAnsi="宋体" w:eastAsia="宋体" w:cs="宋体"/>
          <w:sz w:val="21"/>
          <w:szCs w:val="21"/>
        </w:rPr>
      </w:pPr>
    </w:p>
    <w:p>
      <w:pPr>
        <w:rPr>
          <w:rFonts w:ascii="宋体" w:hAnsi="宋体" w:eastAsia="宋体" w:cs="宋体"/>
          <w:sz w:val="21"/>
          <w:szCs w:val="21"/>
        </w:rPr>
      </w:pPr>
      <w:r>
        <w:rPr>
          <w:rFonts w:hint="eastAsia" w:ascii="宋体" w:hAnsi="宋体" w:eastAsia="宋体" w:cs="宋体"/>
          <w:sz w:val="21"/>
          <w:szCs w:val="21"/>
        </w:rPr>
        <w:t>二、采购清单</w:t>
      </w:r>
    </w:p>
    <w:tbl>
      <w:tblPr>
        <w:tblStyle w:val="3"/>
        <w:tblW w:w="8363" w:type="dxa"/>
        <w:tblInd w:w="250" w:type="dxa"/>
        <w:tblLayout w:type="fixed"/>
        <w:tblCellMar>
          <w:top w:w="0" w:type="dxa"/>
          <w:left w:w="108" w:type="dxa"/>
          <w:bottom w:w="0" w:type="dxa"/>
          <w:right w:w="108" w:type="dxa"/>
        </w:tblCellMar>
      </w:tblPr>
      <w:tblGrid>
        <w:gridCol w:w="1418"/>
        <w:gridCol w:w="4819"/>
        <w:gridCol w:w="992"/>
        <w:gridCol w:w="1134"/>
      </w:tblGrid>
      <w:tr>
        <w:tblPrEx>
          <w:tblCellMar>
            <w:top w:w="0" w:type="dxa"/>
            <w:left w:w="108" w:type="dxa"/>
            <w:bottom w:w="0" w:type="dxa"/>
            <w:right w:w="108" w:type="dxa"/>
          </w:tblCellMar>
        </w:tblPrEx>
        <w:trPr>
          <w:trHeight w:val="517" w:hRule="atLeast"/>
        </w:trPr>
        <w:tc>
          <w:tcPr>
            <w:tcW w:w="1418" w:type="dxa"/>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ascii="宋体" w:hAnsi="宋体" w:eastAsia="宋体" w:cs="宋体"/>
                <w:sz w:val="21"/>
                <w:szCs w:val="21"/>
              </w:rPr>
            </w:pPr>
            <w:r>
              <w:rPr>
                <w:rFonts w:hint="eastAsia" w:ascii="宋体" w:hAnsi="宋体" w:eastAsia="宋体" w:cs="宋体"/>
                <w:sz w:val="21"/>
                <w:szCs w:val="21"/>
              </w:rPr>
              <w:t>建设内容</w:t>
            </w:r>
          </w:p>
        </w:tc>
        <w:tc>
          <w:tcPr>
            <w:tcW w:w="4819" w:type="dxa"/>
            <w:tcBorders>
              <w:top w:val="single" w:color="auto" w:sz="8" w:space="0"/>
              <w:left w:val="nil"/>
              <w:bottom w:val="single" w:color="000000" w:sz="8" w:space="0"/>
              <w:right w:val="single" w:color="000000" w:sz="8" w:space="0"/>
            </w:tcBorders>
            <w:shd w:val="clear" w:color="000000" w:fill="FFFFFF"/>
            <w:vAlign w:val="center"/>
          </w:tcPr>
          <w:p>
            <w:pPr>
              <w:jc w:val="center"/>
              <w:rPr>
                <w:rFonts w:ascii="宋体" w:hAnsi="宋体" w:eastAsia="宋体" w:cs="宋体"/>
                <w:sz w:val="21"/>
                <w:szCs w:val="21"/>
              </w:rPr>
            </w:pPr>
            <w:r>
              <w:rPr>
                <w:rFonts w:hint="eastAsia" w:ascii="宋体" w:hAnsi="宋体" w:eastAsia="宋体" w:cs="宋体"/>
                <w:sz w:val="21"/>
                <w:szCs w:val="21"/>
              </w:rPr>
              <w:t>项目明细清单</w:t>
            </w:r>
          </w:p>
        </w:tc>
        <w:tc>
          <w:tcPr>
            <w:tcW w:w="992" w:type="dxa"/>
            <w:tcBorders>
              <w:top w:val="single" w:color="auto" w:sz="8" w:space="0"/>
              <w:left w:val="nil"/>
              <w:bottom w:val="single" w:color="000000" w:sz="8" w:space="0"/>
              <w:right w:val="single" w:color="000000" w:sz="8" w:space="0"/>
            </w:tcBorders>
            <w:shd w:val="clear" w:color="000000" w:fill="FFFFFF"/>
            <w:vAlign w:val="center"/>
          </w:tcPr>
          <w:p>
            <w:pPr>
              <w:jc w:val="center"/>
              <w:rPr>
                <w:rFonts w:ascii="宋体" w:hAnsi="宋体" w:eastAsia="宋体" w:cs="宋体"/>
                <w:sz w:val="21"/>
                <w:szCs w:val="21"/>
              </w:rPr>
            </w:pPr>
            <w:r>
              <w:rPr>
                <w:rFonts w:hint="eastAsia" w:ascii="宋体" w:hAnsi="宋体" w:eastAsia="宋体" w:cs="宋体"/>
                <w:sz w:val="21"/>
                <w:szCs w:val="21"/>
              </w:rPr>
              <w:t>数量</w:t>
            </w:r>
          </w:p>
        </w:tc>
        <w:tc>
          <w:tcPr>
            <w:tcW w:w="1134" w:type="dxa"/>
            <w:tcBorders>
              <w:top w:val="single" w:color="auto" w:sz="8" w:space="0"/>
              <w:left w:val="nil"/>
              <w:bottom w:val="single" w:color="000000" w:sz="8" w:space="0"/>
              <w:right w:val="single" w:color="auto" w:sz="8" w:space="0"/>
            </w:tcBorders>
            <w:shd w:val="clear" w:color="000000" w:fill="FFFFFF"/>
            <w:vAlign w:val="center"/>
          </w:tcPr>
          <w:p>
            <w:pPr>
              <w:jc w:val="center"/>
              <w:rPr>
                <w:rFonts w:ascii="宋体" w:hAnsi="宋体" w:eastAsia="宋体" w:cs="宋体"/>
                <w:sz w:val="21"/>
                <w:szCs w:val="21"/>
              </w:rPr>
            </w:pPr>
            <w:r>
              <w:rPr>
                <w:rFonts w:hint="eastAsia" w:ascii="宋体" w:hAnsi="宋体" w:eastAsia="宋体" w:cs="宋体"/>
                <w:sz w:val="21"/>
                <w:szCs w:val="21"/>
              </w:rPr>
              <w:t>单位</w:t>
            </w:r>
          </w:p>
        </w:tc>
      </w:tr>
      <w:tr>
        <w:tblPrEx>
          <w:tblCellMar>
            <w:top w:w="0" w:type="dxa"/>
            <w:left w:w="108" w:type="dxa"/>
            <w:bottom w:w="0" w:type="dxa"/>
            <w:right w:w="108" w:type="dxa"/>
          </w:tblCellMar>
        </w:tblPrEx>
        <w:trPr>
          <w:trHeight w:val="525" w:hRule="atLeast"/>
        </w:trPr>
        <w:tc>
          <w:tcPr>
            <w:tcW w:w="1418" w:type="dxa"/>
            <w:vMerge w:val="restart"/>
            <w:tcBorders>
              <w:top w:val="nil"/>
              <w:left w:val="single" w:color="auto" w:sz="8" w:space="0"/>
              <w:bottom w:val="single" w:color="000000" w:sz="8" w:space="0"/>
              <w:right w:val="single" w:color="000000" w:sz="8"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人社自助服务一体机</w:t>
            </w:r>
          </w:p>
        </w:tc>
        <w:tc>
          <w:tcPr>
            <w:tcW w:w="4819" w:type="dxa"/>
            <w:tcBorders>
              <w:top w:val="nil"/>
              <w:left w:val="nil"/>
              <w:bottom w:val="single" w:color="000000" w:sz="8" w:space="0"/>
              <w:right w:val="single" w:color="000000" w:sz="8" w:space="0"/>
            </w:tcBorders>
            <w:vAlign w:val="center"/>
          </w:tcPr>
          <w:p>
            <w:pPr>
              <w:rPr>
                <w:rFonts w:ascii="宋体" w:hAnsi="宋体" w:eastAsia="宋体" w:cs="宋体"/>
                <w:sz w:val="21"/>
                <w:szCs w:val="21"/>
              </w:rPr>
            </w:pPr>
            <w:r>
              <w:rPr>
                <w:rFonts w:hint="eastAsia" w:ascii="宋体" w:hAnsi="宋体" w:eastAsia="宋体" w:cs="宋体"/>
                <w:sz w:val="21"/>
                <w:szCs w:val="21"/>
              </w:rPr>
              <w:t>人社自助服务一体机系统（平台运行必须部署的核心系统、接口系统、其他外部系统等）</w:t>
            </w:r>
          </w:p>
        </w:tc>
        <w:tc>
          <w:tcPr>
            <w:tcW w:w="992" w:type="dxa"/>
            <w:tcBorders>
              <w:top w:val="nil"/>
              <w:left w:val="nil"/>
              <w:bottom w:val="single" w:color="000000" w:sz="8" w:space="0"/>
              <w:right w:val="single" w:color="000000" w:sz="8"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134" w:type="dxa"/>
            <w:tcBorders>
              <w:top w:val="nil"/>
              <w:left w:val="nil"/>
              <w:bottom w:val="single" w:color="000000" w:sz="8" w:space="0"/>
              <w:right w:val="single" w:color="auto" w:sz="8"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5" w:hRule="atLeast"/>
        </w:trPr>
        <w:tc>
          <w:tcPr>
            <w:tcW w:w="1418" w:type="dxa"/>
            <w:vMerge w:val="continue"/>
            <w:tcBorders>
              <w:top w:val="nil"/>
              <w:left w:val="single" w:color="auto" w:sz="8" w:space="0"/>
              <w:bottom w:val="single" w:color="000000" w:sz="8" w:space="0"/>
              <w:right w:val="single" w:color="000000" w:sz="8" w:space="0"/>
            </w:tcBorders>
            <w:vAlign w:val="center"/>
          </w:tcPr>
          <w:p>
            <w:pPr>
              <w:rPr>
                <w:rFonts w:ascii="宋体" w:hAnsi="宋体" w:eastAsia="宋体" w:cs="宋体"/>
                <w:sz w:val="21"/>
                <w:szCs w:val="21"/>
              </w:rPr>
            </w:pPr>
          </w:p>
        </w:tc>
        <w:tc>
          <w:tcPr>
            <w:tcW w:w="4819" w:type="dxa"/>
            <w:tcBorders>
              <w:top w:val="nil"/>
              <w:left w:val="nil"/>
              <w:bottom w:val="single" w:color="auto" w:sz="8" w:space="0"/>
              <w:right w:val="single" w:color="000000" w:sz="8" w:space="0"/>
            </w:tcBorders>
            <w:vAlign w:val="center"/>
          </w:tcPr>
          <w:p>
            <w:pPr>
              <w:rPr>
                <w:rFonts w:ascii="宋体" w:hAnsi="宋体" w:eastAsia="宋体" w:cs="宋体"/>
                <w:sz w:val="21"/>
                <w:szCs w:val="21"/>
              </w:rPr>
            </w:pPr>
            <w:r>
              <w:rPr>
                <w:rFonts w:hint="eastAsia" w:ascii="宋体" w:hAnsi="宋体" w:eastAsia="宋体" w:cs="宋体"/>
                <w:sz w:val="21"/>
                <w:szCs w:val="21"/>
              </w:rPr>
              <w:t>人社自助服务一体机硬件设备</w:t>
            </w:r>
          </w:p>
        </w:tc>
        <w:tc>
          <w:tcPr>
            <w:tcW w:w="992" w:type="dxa"/>
            <w:tcBorders>
              <w:top w:val="nil"/>
              <w:left w:val="nil"/>
              <w:bottom w:val="single" w:color="auto" w:sz="8" w:space="0"/>
              <w:right w:val="single" w:color="000000" w:sz="8"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134" w:type="dxa"/>
            <w:tcBorders>
              <w:top w:val="nil"/>
              <w:left w:val="nil"/>
              <w:bottom w:val="single" w:color="auto" w:sz="8" w:space="0"/>
              <w:right w:val="single" w:color="auto" w:sz="8"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台</w:t>
            </w:r>
          </w:p>
        </w:tc>
      </w:tr>
    </w:tbl>
    <w:p>
      <w:pPr>
        <w:pStyle w:val="6"/>
        <w:snapToGrid w:val="0"/>
        <w:rPr>
          <w:rFonts w:hAnsi="宋体" w:eastAsia="宋体" w:cs="宋体"/>
          <w:sz w:val="21"/>
          <w:szCs w:val="21"/>
          <w:u w:val="single"/>
        </w:rPr>
      </w:pPr>
    </w:p>
    <w:p>
      <w:pPr>
        <w:rPr>
          <w:rFonts w:ascii="宋体" w:hAnsi="宋体" w:eastAsia="宋体" w:cs="宋体"/>
          <w:sz w:val="21"/>
          <w:szCs w:val="21"/>
        </w:rPr>
      </w:pPr>
      <w:r>
        <w:rPr>
          <w:rFonts w:hint="eastAsia" w:ascii="宋体" w:hAnsi="宋体" w:eastAsia="宋体" w:cs="宋体"/>
          <w:sz w:val="21"/>
          <w:szCs w:val="21"/>
        </w:rPr>
        <w:t>三、货物要求：</w:t>
      </w:r>
    </w:p>
    <w:p>
      <w:pPr>
        <w:jc w:val="center"/>
        <w:rPr>
          <w:rFonts w:ascii="宋体" w:hAnsi="宋体" w:eastAsia="宋体" w:cs="宋体"/>
          <w:sz w:val="21"/>
          <w:szCs w:val="21"/>
        </w:rPr>
      </w:pPr>
      <w:r>
        <w:rPr>
          <w:rFonts w:hint="eastAsia" w:ascii="宋体" w:hAnsi="宋体" w:eastAsia="宋体" w:cs="宋体"/>
          <w:sz w:val="21"/>
          <w:szCs w:val="21"/>
        </w:rPr>
        <w:t>自助服务一体机硬件配置需求如下</w:t>
      </w:r>
    </w:p>
    <w:tbl>
      <w:tblPr>
        <w:tblStyle w:val="3"/>
        <w:tblW w:w="88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13"/>
        <w:gridCol w:w="1076"/>
        <w:gridCol w:w="73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5" w:hRule="atLeast"/>
          <w:jc w:val="center"/>
        </w:trPr>
        <w:tc>
          <w:tcPr>
            <w:tcW w:w="0" w:type="auto"/>
            <w:tcBorders>
              <w:tl2br w:val="nil"/>
              <w:tr2bl w:val="nil"/>
            </w:tcBorders>
            <w:vAlign w:val="center"/>
          </w:tcPr>
          <w:p>
            <w:pPr>
              <w:jc w:val="cente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0" w:type="auto"/>
            <w:tcBorders>
              <w:tl2br w:val="nil"/>
              <w:tr2bl w:val="nil"/>
            </w:tcBorders>
            <w:vAlign w:val="center"/>
          </w:tcPr>
          <w:p>
            <w:pPr>
              <w:jc w:val="cente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项目</w:t>
            </w:r>
          </w:p>
        </w:tc>
        <w:tc>
          <w:tcPr>
            <w:tcW w:w="7308" w:type="dxa"/>
            <w:tcBorders>
              <w:tl2br w:val="nil"/>
              <w:tr2bl w:val="nil"/>
            </w:tcBorders>
            <w:vAlign w:val="center"/>
          </w:tcPr>
          <w:p>
            <w:pPr>
              <w:jc w:val="cente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配置要求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外观规格</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大堂式全钢制流线型柜体，高度不低于</w:t>
            </w:r>
            <w:r>
              <w:rPr>
                <w:rStyle w:val="7"/>
                <w:rFonts w:hint="default"/>
                <w:lang w:bidi="ar"/>
              </w:rPr>
              <w:t>1.5M</w:t>
            </w:r>
            <w:r>
              <w:rPr>
                <w:rStyle w:val="8"/>
                <w:rFonts w:hint="default"/>
                <w:sz w:val="21"/>
                <w:szCs w:val="21"/>
                <w:lang w:bidi="ar"/>
              </w:rPr>
              <w:t>，防水、防尘、防爆、耐磨、防锈、防磁，可配备固定支架，便于固定。内部结构：布线规范整齐，布局合理；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0"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电源</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提供</w:t>
            </w:r>
            <w:r>
              <w:rPr>
                <w:rStyle w:val="7"/>
                <w:rFonts w:hint="default"/>
                <w:lang w:bidi="ar"/>
              </w:rPr>
              <w:t>220v</w:t>
            </w:r>
            <w:r>
              <w:rPr>
                <w:rStyle w:val="8"/>
                <w:rFonts w:hint="default"/>
                <w:sz w:val="21"/>
                <w:szCs w:val="21"/>
                <w:lang w:bidi="ar"/>
              </w:rPr>
              <w:t>，</w:t>
            </w:r>
            <w:r>
              <w:rPr>
                <w:rStyle w:val="7"/>
                <w:rFonts w:hint="default"/>
                <w:lang w:bidi="ar"/>
              </w:rPr>
              <w:t>50Hz</w:t>
            </w:r>
            <w:r>
              <w:rPr>
                <w:rStyle w:val="8"/>
                <w:rFonts w:hint="default"/>
                <w:sz w:val="21"/>
                <w:szCs w:val="21"/>
                <w:lang w:bidi="ar"/>
              </w:rPr>
              <w:t>国标电源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1"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0" w:type="auto"/>
            <w:tcBorders>
              <w:tl2br w:val="nil"/>
              <w:tr2bl w:val="nil"/>
            </w:tcBorders>
            <w:vAlign w:val="center"/>
          </w:tcPr>
          <w:p>
            <w:pPr>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主机主板</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CPU双核2.4GHz；系统内存：4GB DDR3；存储容量：128GB 固态硬盘；千兆以太网；Win7 嵌入式系统。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存储</w:t>
            </w:r>
          </w:p>
        </w:tc>
        <w:tc>
          <w:tcPr>
            <w:tcW w:w="7308" w:type="dxa"/>
            <w:tcBorders>
              <w:tl2br w:val="nil"/>
              <w:tr2bl w:val="nil"/>
            </w:tcBorders>
            <w:vAlign w:val="center"/>
          </w:tcPr>
          <w:p>
            <w:pPr>
              <w:textAlignment w:val="bottom"/>
              <w:rPr>
                <w:rStyle w:val="7"/>
                <w:rFonts w:hint="default"/>
                <w:lang w:bidi="ar"/>
              </w:rPr>
            </w:pPr>
            <w:r>
              <w:rPr>
                <w:rStyle w:val="7"/>
                <w:rFonts w:hint="default"/>
              </w:rPr>
              <w:t>内存≥</w:t>
            </w:r>
            <w:r>
              <w:rPr>
                <w:rStyle w:val="7"/>
                <w:rFonts w:hint="default"/>
                <w:lang w:bidi="ar"/>
              </w:rPr>
              <w:t>4GB(DDR3)；存储容量≥128GB 固态硬盘或</w:t>
            </w:r>
            <w:r>
              <w:rPr>
                <w:rStyle w:val="7"/>
                <w:rFonts w:hint="default"/>
              </w:rPr>
              <w:t>≥</w:t>
            </w:r>
            <w:r>
              <w:rPr>
                <w:rStyle w:val="7"/>
                <w:rFonts w:hint="default"/>
                <w:lang w:bidi="ar"/>
              </w:rPr>
              <w:t>500GB SATA</w:t>
            </w:r>
            <w:r>
              <w:rPr>
                <w:rStyle w:val="7"/>
                <w:rFonts w:hint="default"/>
              </w:rPr>
              <w:t>硬盘；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液晶显示器</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19</w:t>
            </w:r>
            <w:r>
              <w:rPr>
                <w:rStyle w:val="8"/>
                <w:rFonts w:hint="default"/>
                <w:sz w:val="21"/>
                <w:szCs w:val="21"/>
                <w:lang w:bidi="ar"/>
              </w:rPr>
              <w:t>寸液晶显示器，分辨率：</w:t>
            </w:r>
            <w:r>
              <w:rPr>
                <w:rStyle w:val="7"/>
                <w:rFonts w:hint="default"/>
                <w:lang w:bidi="ar"/>
              </w:rPr>
              <w:t>≥1440*900</w:t>
            </w:r>
            <w:r>
              <w:rPr>
                <w:rStyle w:val="8"/>
                <w:rFonts w:hint="default"/>
                <w:sz w:val="21"/>
                <w:szCs w:val="21"/>
                <w:lang w:bidi="ar"/>
              </w:rPr>
              <w:t>；屏幕比例：</w:t>
            </w:r>
            <w:r>
              <w:rPr>
                <w:rStyle w:val="7"/>
                <w:rFonts w:hint="default"/>
                <w:lang w:bidi="ar"/>
              </w:rPr>
              <w:t>16:10</w:t>
            </w:r>
            <w:r>
              <w:rPr>
                <w:rStyle w:val="8"/>
                <w:rFonts w:hint="default"/>
                <w:sz w:val="21"/>
                <w:szCs w:val="21"/>
                <w:lang w:bidi="ar"/>
              </w:rPr>
              <w:t>；亮度：</w:t>
            </w:r>
            <w:r>
              <w:rPr>
                <w:rStyle w:val="7"/>
                <w:rFonts w:hint="default"/>
                <w:lang w:bidi="ar"/>
              </w:rPr>
              <w:t>250cd/</w:t>
            </w:r>
            <w:r>
              <w:rPr>
                <w:rStyle w:val="8"/>
                <w:rFonts w:hint="default"/>
                <w:sz w:val="21"/>
                <w:szCs w:val="21"/>
                <w:lang w:bidi="ar"/>
              </w:rPr>
              <w:t>㎡；对比度：</w:t>
            </w:r>
            <w:r>
              <w:rPr>
                <w:rStyle w:val="7"/>
                <w:rFonts w:hint="default"/>
                <w:lang w:bidi="ar"/>
              </w:rPr>
              <w:t>1000:1</w:t>
            </w:r>
            <w:r>
              <w:rPr>
                <w:rStyle w:val="8"/>
                <w:rFonts w:hint="default"/>
                <w:sz w:val="21"/>
                <w:szCs w:val="21"/>
                <w:lang w:bidi="ar"/>
              </w:rPr>
              <w:t>；视频输入格式：</w:t>
            </w:r>
            <w:r>
              <w:rPr>
                <w:rStyle w:val="7"/>
                <w:rFonts w:hint="default"/>
                <w:lang w:bidi="ar"/>
              </w:rPr>
              <w:t>VGA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网络</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支持以太网；支持</w:t>
            </w:r>
            <w:r>
              <w:rPr>
                <w:rStyle w:val="7"/>
                <w:rFonts w:hint="default"/>
                <w:lang w:bidi="ar"/>
              </w:rPr>
              <w:t>10/100/1000</w:t>
            </w:r>
            <w:r>
              <w:rPr>
                <w:rStyle w:val="8"/>
                <w:rFonts w:hint="default"/>
                <w:sz w:val="21"/>
                <w:szCs w:val="21"/>
                <w:lang w:bidi="ar"/>
              </w:rPr>
              <w:t>以太网（</w:t>
            </w:r>
            <w:r>
              <w:rPr>
                <w:rStyle w:val="7"/>
                <w:rFonts w:hint="default"/>
                <w:lang w:bidi="ar"/>
              </w:rPr>
              <w:t>RJ-45</w:t>
            </w:r>
            <w:r>
              <w:rPr>
                <w:rStyle w:val="8"/>
                <w:rFonts w:hint="default"/>
                <w:sz w:val="21"/>
                <w:szCs w:val="21"/>
                <w:lang w:bidi="ar"/>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触摸屏</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19寸红外触摸屏；分辨率：4096*4096；屏幕比例：16:10；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金属密码键盘</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采用防水、防尘、防爆、金属密码键盘，配置硬件加密模块，支持密钥下载；配有4个PSAM插槽；键码16键，包含数字键、功能键等；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 w:hRule="atLeast"/>
          <w:jc w:val="center"/>
        </w:trPr>
        <w:tc>
          <w:tcPr>
            <w:tcW w:w="0" w:type="auto"/>
            <w:vMerge w:val="restart"/>
            <w:tcBorders>
              <w:tl2br w:val="nil"/>
              <w:tr2bl w:val="nil"/>
            </w:tcBorders>
            <w:shd w:val="clear" w:color="auto" w:fill="auto"/>
            <w:vAlign w:val="center"/>
          </w:tcPr>
          <w:p>
            <w:pPr>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9</w:t>
            </w:r>
          </w:p>
        </w:tc>
        <w:tc>
          <w:tcPr>
            <w:tcW w:w="0" w:type="auto"/>
            <w:vMerge w:val="restart"/>
            <w:tcBorders>
              <w:tl2br w:val="nil"/>
              <w:tr2bl w:val="nil"/>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社保</w:t>
            </w:r>
            <w:r>
              <w:rPr>
                <w:rStyle w:val="7"/>
                <w:rFonts w:hint="default"/>
                <w:lang w:bidi="ar"/>
              </w:rPr>
              <w:t>/</w:t>
            </w:r>
            <w:r>
              <w:rPr>
                <w:rStyle w:val="8"/>
                <w:rFonts w:hint="default"/>
                <w:sz w:val="21"/>
                <w:szCs w:val="21"/>
                <w:lang w:bidi="ar"/>
              </w:rPr>
              <w:t>银行卡读卡器</w:t>
            </w:r>
          </w:p>
        </w:tc>
        <w:tc>
          <w:tcPr>
            <w:tcW w:w="7308" w:type="dxa"/>
            <w:tcBorders>
              <w:tl2br w:val="nil"/>
              <w:tr2bl w:val="nil"/>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电动吸入式</w:t>
            </w:r>
            <w:r>
              <w:rPr>
                <w:rStyle w:val="7"/>
                <w:rFonts w:hint="default"/>
                <w:lang w:bidi="ar"/>
              </w:rPr>
              <w:t>IC</w:t>
            </w:r>
            <w:r>
              <w:rPr>
                <w:rStyle w:val="8"/>
                <w:rFonts w:hint="default"/>
                <w:sz w:val="21"/>
                <w:szCs w:val="21"/>
                <w:lang w:bidi="ar"/>
              </w:rPr>
              <w:t>卡读写器；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5" w:hRule="atLeast"/>
          <w:jc w:val="center"/>
        </w:trPr>
        <w:tc>
          <w:tcPr>
            <w:tcW w:w="0" w:type="auto"/>
            <w:vMerge w:val="continue"/>
            <w:tcBorders>
              <w:tl2br w:val="nil"/>
              <w:tr2bl w:val="nil"/>
            </w:tcBorders>
            <w:vAlign w:val="center"/>
          </w:tcPr>
          <w:p>
            <w:pPr>
              <w:jc w:val="center"/>
              <w:rPr>
                <w:rFonts w:ascii="宋体" w:hAnsi="宋体" w:eastAsia="宋体" w:cs="宋体"/>
                <w:color w:val="000000"/>
                <w:sz w:val="21"/>
                <w:szCs w:val="21"/>
              </w:rPr>
            </w:pPr>
          </w:p>
        </w:tc>
        <w:tc>
          <w:tcPr>
            <w:tcW w:w="0" w:type="auto"/>
            <w:vMerge w:val="continue"/>
            <w:tcBorders>
              <w:tl2br w:val="nil"/>
              <w:tr2bl w:val="nil"/>
            </w:tcBorders>
            <w:vAlign w:val="center"/>
          </w:tcPr>
          <w:p>
            <w:pPr>
              <w:rPr>
                <w:rFonts w:ascii="宋体" w:hAnsi="宋体" w:eastAsia="宋体" w:cs="宋体"/>
                <w:color w:val="000000"/>
                <w:sz w:val="21"/>
                <w:szCs w:val="21"/>
              </w:rPr>
            </w:pP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bCs/>
                <w:sz w:val="21"/>
                <w:szCs w:val="21"/>
              </w:rPr>
              <w:t>★</w:t>
            </w:r>
            <w:r>
              <w:rPr>
                <w:rFonts w:hint="eastAsia" w:ascii="宋体" w:hAnsi="宋体" w:eastAsia="宋体" w:cs="宋体"/>
                <w:color w:val="000000"/>
                <w:kern w:val="0"/>
                <w:sz w:val="21"/>
                <w:szCs w:val="21"/>
                <w:lang w:bidi="ar"/>
              </w:rPr>
              <w:t>可读取符合人力资源社会保障部社保卡规范（同时可读</w:t>
            </w:r>
            <w:r>
              <w:rPr>
                <w:rStyle w:val="7"/>
                <w:rFonts w:hint="default"/>
                <w:lang w:bidi="ar"/>
              </w:rPr>
              <w:t>2.0</w:t>
            </w:r>
            <w:r>
              <w:rPr>
                <w:rStyle w:val="8"/>
                <w:rFonts w:hint="default"/>
                <w:sz w:val="21"/>
                <w:szCs w:val="21"/>
                <w:lang w:bidi="ar"/>
              </w:rPr>
              <w:t>和</w:t>
            </w:r>
            <w:r>
              <w:rPr>
                <w:rStyle w:val="7"/>
                <w:rFonts w:hint="default"/>
                <w:lang w:bidi="ar"/>
              </w:rPr>
              <w:t>3.0</w:t>
            </w:r>
            <w:r>
              <w:rPr>
                <w:rStyle w:val="8"/>
                <w:rFonts w:hint="default"/>
                <w:sz w:val="21"/>
                <w:szCs w:val="21"/>
                <w:lang w:bidi="ar"/>
              </w:rPr>
              <w:t>规范）的社会保障卡，支持读写卡功能；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5" w:hRule="atLeast"/>
          <w:jc w:val="center"/>
        </w:trPr>
        <w:tc>
          <w:tcPr>
            <w:tcW w:w="0" w:type="auto"/>
            <w:vMerge w:val="continue"/>
            <w:tcBorders>
              <w:tl2br w:val="nil"/>
              <w:tr2bl w:val="nil"/>
            </w:tcBorders>
            <w:vAlign w:val="center"/>
          </w:tcPr>
          <w:p>
            <w:pPr>
              <w:jc w:val="center"/>
              <w:rPr>
                <w:rFonts w:ascii="宋体" w:hAnsi="宋体" w:eastAsia="宋体" w:cs="宋体"/>
                <w:color w:val="000000"/>
                <w:sz w:val="21"/>
                <w:szCs w:val="21"/>
              </w:rPr>
            </w:pPr>
          </w:p>
        </w:tc>
        <w:tc>
          <w:tcPr>
            <w:tcW w:w="0" w:type="auto"/>
            <w:vMerge w:val="continue"/>
            <w:tcBorders>
              <w:tl2br w:val="nil"/>
              <w:tr2bl w:val="nil"/>
            </w:tcBorders>
            <w:vAlign w:val="center"/>
          </w:tcPr>
          <w:p>
            <w:pPr>
              <w:rPr>
                <w:rFonts w:ascii="宋体" w:hAnsi="宋体" w:eastAsia="宋体" w:cs="宋体"/>
                <w:color w:val="000000"/>
                <w:sz w:val="21"/>
                <w:szCs w:val="21"/>
              </w:rPr>
            </w:pP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可读取金融磁条卡和金融</w:t>
            </w:r>
            <w:r>
              <w:rPr>
                <w:rStyle w:val="7"/>
                <w:rFonts w:hint="default"/>
                <w:lang w:bidi="ar"/>
              </w:rPr>
              <w:t>IC</w:t>
            </w:r>
            <w:r>
              <w:rPr>
                <w:rStyle w:val="8"/>
                <w:rFonts w:hint="default"/>
                <w:sz w:val="21"/>
                <w:szCs w:val="21"/>
                <w:lang w:bidi="ar"/>
              </w:rPr>
              <w:t>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5" w:hRule="atLeast"/>
          <w:jc w:val="center"/>
        </w:trPr>
        <w:tc>
          <w:tcPr>
            <w:tcW w:w="0" w:type="auto"/>
            <w:vMerge w:val="continue"/>
            <w:tcBorders>
              <w:tl2br w:val="nil"/>
              <w:tr2bl w:val="nil"/>
            </w:tcBorders>
            <w:vAlign w:val="center"/>
          </w:tcPr>
          <w:p>
            <w:pPr>
              <w:jc w:val="center"/>
              <w:rPr>
                <w:rFonts w:ascii="宋体" w:hAnsi="宋体" w:eastAsia="宋体" w:cs="宋体"/>
                <w:color w:val="000000"/>
                <w:sz w:val="21"/>
                <w:szCs w:val="21"/>
              </w:rPr>
            </w:pPr>
          </w:p>
        </w:tc>
        <w:tc>
          <w:tcPr>
            <w:tcW w:w="0" w:type="auto"/>
            <w:vMerge w:val="continue"/>
            <w:tcBorders>
              <w:tl2br w:val="nil"/>
              <w:tr2bl w:val="nil"/>
            </w:tcBorders>
            <w:vAlign w:val="center"/>
          </w:tcPr>
          <w:p>
            <w:pPr>
              <w:rPr>
                <w:rFonts w:ascii="宋体" w:hAnsi="宋体" w:eastAsia="宋体" w:cs="宋体"/>
                <w:color w:val="000000"/>
                <w:sz w:val="21"/>
                <w:szCs w:val="21"/>
              </w:rPr>
            </w:pP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bCs/>
                <w:sz w:val="21"/>
                <w:szCs w:val="21"/>
              </w:rPr>
              <w:t>★</w:t>
            </w:r>
            <w:r>
              <w:rPr>
                <w:rFonts w:hint="eastAsia" w:ascii="宋体" w:hAnsi="宋体" w:eastAsia="宋体" w:cs="宋体"/>
                <w:color w:val="000000"/>
                <w:kern w:val="0"/>
                <w:sz w:val="21"/>
                <w:szCs w:val="21"/>
                <w:lang w:bidi="ar"/>
              </w:rPr>
              <w:t>支持</w:t>
            </w:r>
            <w:r>
              <w:rPr>
                <w:rStyle w:val="7"/>
                <w:rFonts w:hint="default"/>
                <w:lang w:bidi="ar"/>
              </w:rPr>
              <w:t>EMV</w:t>
            </w:r>
            <w:r>
              <w:rPr>
                <w:rStyle w:val="8"/>
                <w:rFonts w:hint="default"/>
                <w:sz w:val="21"/>
                <w:szCs w:val="21"/>
                <w:lang w:bidi="ar"/>
              </w:rPr>
              <w:t>智能卡标准，符合</w:t>
            </w:r>
            <w:r>
              <w:rPr>
                <w:rStyle w:val="7"/>
                <w:rFonts w:hint="default"/>
                <w:lang w:bidi="ar"/>
              </w:rPr>
              <w:t>EMV3.1/4.0</w:t>
            </w:r>
            <w:r>
              <w:rPr>
                <w:rStyle w:val="8"/>
                <w:rFonts w:hint="default"/>
                <w:sz w:val="21"/>
                <w:szCs w:val="21"/>
                <w:lang w:bidi="ar"/>
              </w:rPr>
              <w:t>要求，提供相关证明；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5" w:hRule="atLeast"/>
          <w:jc w:val="center"/>
        </w:trPr>
        <w:tc>
          <w:tcPr>
            <w:tcW w:w="0" w:type="auto"/>
            <w:vMerge w:val="continue"/>
            <w:tcBorders>
              <w:tl2br w:val="nil"/>
              <w:tr2bl w:val="nil"/>
            </w:tcBorders>
            <w:vAlign w:val="center"/>
          </w:tcPr>
          <w:p>
            <w:pPr>
              <w:jc w:val="center"/>
              <w:rPr>
                <w:rFonts w:ascii="宋体" w:hAnsi="宋体" w:eastAsia="宋体" w:cs="宋体"/>
                <w:color w:val="000000"/>
                <w:sz w:val="21"/>
                <w:szCs w:val="21"/>
              </w:rPr>
            </w:pPr>
          </w:p>
        </w:tc>
        <w:tc>
          <w:tcPr>
            <w:tcW w:w="0" w:type="auto"/>
            <w:vMerge w:val="continue"/>
            <w:tcBorders>
              <w:tl2br w:val="nil"/>
              <w:tr2bl w:val="nil"/>
            </w:tcBorders>
            <w:vAlign w:val="center"/>
          </w:tcPr>
          <w:p>
            <w:pPr>
              <w:rPr>
                <w:rFonts w:ascii="宋体" w:hAnsi="宋体" w:eastAsia="宋体" w:cs="宋体"/>
                <w:color w:val="000000"/>
                <w:sz w:val="21"/>
                <w:szCs w:val="21"/>
              </w:rPr>
            </w:pP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bCs/>
                <w:sz w:val="21"/>
                <w:szCs w:val="21"/>
              </w:rPr>
              <w:t>★</w:t>
            </w:r>
            <w:r>
              <w:rPr>
                <w:rFonts w:hint="eastAsia" w:ascii="宋体" w:hAnsi="宋体" w:eastAsia="宋体" w:cs="宋体"/>
                <w:color w:val="000000"/>
                <w:kern w:val="0"/>
                <w:sz w:val="21"/>
                <w:szCs w:val="21"/>
                <w:lang w:bidi="ar"/>
              </w:rPr>
              <w:t>支持人民银行智能卡规范，符合</w:t>
            </w:r>
            <w:r>
              <w:rPr>
                <w:rStyle w:val="7"/>
                <w:rFonts w:hint="default"/>
                <w:lang w:bidi="ar"/>
              </w:rPr>
              <w:t>PBOC2.0</w:t>
            </w:r>
            <w:r>
              <w:rPr>
                <w:rStyle w:val="8"/>
                <w:rFonts w:hint="default"/>
                <w:sz w:val="21"/>
                <w:szCs w:val="21"/>
                <w:lang w:bidi="ar"/>
              </w:rPr>
              <w:t>或</w:t>
            </w:r>
            <w:r>
              <w:rPr>
                <w:rStyle w:val="7"/>
                <w:rFonts w:hint="default"/>
                <w:lang w:bidi="ar"/>
              </w:rPr>
              <w:t>PBOC3.0</w:t>
            </w:r>
            <w:r>
              <w:rPr>
                <w:rStyle w:val="8"/>
                <w:rFonts w:hint="default"/>
                <w:sz w:val="21"/>
                <w:szCs w:val="21"/>
                <w:lang w:bidi="ar"/>
              </w:rPr>
              <w:t>要求，提供相关证明；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5" w:hRule="atLeast"/>
          <w:jc w:val="center"/>
        </w:trPr>
        <w:tc>
          <w:tcPr>
            <w:tcW w:w="0" w:type="auto"/>
            <w:vMerge w:val="continue"/>
            <w:tcBorders>
              <w:tl2br w:val="nil"/>
              <w:tr2bl w:val="nil"/>
            </w:tcBorders>
            <w:vAlign w:val="center"/>
          </w:tcPr>
          <w:p>
            <w:pPr>
              <w:jc w:val="center"/>
              <w:rPr>
                <w:rFonts w:ascii="宋体" w:hAnsi="宋体" w:eastAsia="宋体" w:cs="宋体"/>
                <w:color w:val="000000"/>
                <w:sz w:val="21"/>
                <w:szCs w:val="21"/>
              </w:rPr>
            </w:pPr>
          </w:p>
        </w:tc>
        <w:tc>
          <w:tcPr>
            <w:tcW w:w="0" w:type="auto"/>
            <w:vMerge w:val="continue"/>
            <w:tcBorders>
              <w:tl2br w:val="nil"/>
              <w:tr2bl w:val="nil"/>
            </w:tcBorders>
            <w:vAlign w:val="center"/>
          </w:tcPr>
          <w:p>
            <w:pPr>
              <w:rPr>
                <w:rFonts w:ascii="宋体" w:hAnsi="宋体" w:eastAsia="宋体" w:cs="宋体"/>
                <w:color w:val="000000"/>
                <w:sz w:val="21"/>
                <w:szCs w:val="21"/>
              </w:rPr>
            </w:pP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支持自动识别异物，防磁条窃读；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10</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二代身份证阅读器</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通过公安部认证；结合应用软件实现二代身份证信息的正确读取；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11</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热敏打印机</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打印方式 热敏；打印分辨率 203×203DPI；打印速度 Max.150mm/s；打印宽度 Max.80mm；介质类型 连续纸、黑标纸；介质宽度 Max.80mm；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12</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激光打印机</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支持黑白激光打印，打印速度：</w:t>
            </w:r>
            <w:r>
              <w:rPr>
                <w:rStyle w:val="7"/>
                <w:rFonts w:hint="default"/>
                <w:lang w:bidi="ar"/>
              </w:rPr>
              <w:t>≥30ppm</w:t>
            </w:r>
            <w:r>
              <w:rPr>
                <w:rStyle w:val="8"/>
                <w:rFonts w:hint="default"/>
                <w:sz w:val="21"/>
                <w:szCs w:val="21"/>
                <w:lang w:bidi="ar"/>
              </w:rPr>
              <w:t>，最高分辨率：</w:t>
            </w:r>
            <w:r>
              <w:rPr>
                <w:rStyle w:val="7"/>
                <w:rFonts w:hint="default"/>
                <w:lang w:bidi="ar"/>
              </w:rPr>
              <w:br w:type="textWrapping"/>
            </w:r>
            <w:r>
              <w:rPr>
                <w:rStyle w:val="8"/>
                <w:rFonts w:hint="default"/>
                <w:sz w:val="21"/>
                <w:szCs w:val="21"/>
                <w:lang w:bidi="ar"/>
              </w:rPr>
              <w:t>不小于</w:t>
            </w:r>
            <w:r>
              <w:rPr>
                <w:rStyle w:val="7"/>
                <w:rFonts w:hint="default"/>
                <w:lang w:bidi="ar"/>
              </w:rPr>
              <w:t>600dpi,</w:t>
            </w:r>
            <w:r>
              <w:rPr>
                <w:rStyle w:val="8"/>
                <w:rFonts w:hint="default"/>
                <w:sz w:val="21"/>
                <w:szCs w:val="21"/>
                <w:lang w:bidi="ar"/>
              </w:rPr>
              <w:t>可支持</w:t>
            </w:r>
            <w:r>
              <w:rPr>
                <w:rStyle w:val="7"/>
                <w:rFonts w:hint="default"/>
                <w:lang w:bidi="ar"/>
              </w:rPr>
              <w:t>A4</w:t>
            </w:r>
            <w:r>
              <w:rPr>
                <w:rStyle w:val="8"/>
                <w:rFonts w:hint="default"/>
                <w:sz w:val="21"/>
                <w:szCs w:val="21"/>
                <w:lang w:bidi="ar"/>
              </w:rPr>
              <w:t>，</w:t>
            </w:r>
            <w:r>
              <w:rPr>
                <w:rStyle w:val="7"/>
                <w:rFonts w:hint="default"/>
                <w:lang w:bidi="ar"/>
              </w:rPr>
              <w:t>B5</w:t>
            </w:r>
            <w:r>
              <w:rPr>
                <w:rStyle w:val="8"/>
                <w:rFonts w:hint="default"/>
                <w:sz w:val="21"/>
                <w:szCs w:val="21"/>
                <w:lang w:bidi="ar"/>
              </w:rPr>
              <w:t>，</w:t>
            </w:r>
            <w:r>
              <w:rPr>
                <w:rStyle w:val="7"/>
                <w:rFonts w:hint="default"/>
                <w:lang w:bidi="ar"/>
              </w:rPr>
              <w:t xml:space="preserve">A5 </w:t>
            </w:r>
            <w:r>
              <w:rPr>
                <w:rStyle w:val="8"/>
                <w:rFonts w:hint="default"/>
                <w:sz w:val="21"/>
                <w:szCs w:val="21"/>
                <w:lang w:bidi="ar"/>
              </w:rPr>
              <w:t>打印，并前维护更换耗材；</w:t>
            </w:r>
            <w:r>
              <w:rPr>
                <w:rStyle w:val="7"/>
                <w:rFonts w:hint="default"/>
                <w:lang w:bidi="ar"/>
              </w:rPr>
              <w:t>(</w:t>
            </w:r>
            <w:r>
              <w:rPr>
                <w:rStyle w:val="8"/>
                <w:rFonts w:hint="default"/>
                <w:sz w:val="21"/>
                <w:szCs w:val="21"/>
                <w:lang w:bidi="ar"/>
              </w:rPr>
              <w:t>标配</w:t>
            </w:r>
            <w:r>
              <w:rPr>
                <w:rStyle w:val="7"/>
                <w:rFonts w:hint="default"/>
                <w:lang w:bidi="ar"/>
              </w:rPr>
              <w:t xml:space="preserve">250 </w:t>
            </w:r>
            <w:r>
              <w:rPr>
                <w:rStyle w:val="8"/>
                <w:rFonts w:hint="default"/>
                <w:sz w:val="21"/>
                <w:szCs w:val="21"/>
                <w:lang w:bidi="ar"/>
              </w:rPr>
              <w:t>页纸盒</w:t>
            </w:r>
            <w:r>
              <w:rPr>
                <w:rStyle w:val="7"/>
                <w:rFonts w:hint="default"/>
                <w:lang w:bidi="ar"/>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13</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条码扫描</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条形码机二维码扫描；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5" w:hRule="atLeast"/>
          <w:jc w:val="center"/>
        </w:trPr>
        <w:tc>
          <w:tcPr>
            <w:tcW w:w="0" w:type="auto"/>
            <w:tcBorders>
              <w:tl2br w:val="nil"/>
              <w:tr2bl w:val="nil"/>
            </w:tcBorders>
            <w:vAlign w:val="center"/>
          </w:tcPr>
          <w:p>
            <w:pPr>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14</w:t>
            </w:r>
          </w:p>
        </w:tc>
        <w:tc>
          <w:tcPr>
            <w:tcW w:w="0" w:type="auto"/>
            <w:tcBorders>
              <w:tl2br w:val="nil"/>
              <w:tr2bl w:val="nil"/>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定时器</w:t>
            </w:r>
          </w:p>
        </w:tc>
        <w:tc>
          <w:tcPr>
            <w:tcW w:w="7308" w:type="dxa"/>
            <w:tcBorders>
              <w:tl2br w:val="nil"/>
              <w:tr2bl w:val="nil"/>
            </w:tcBorders>
            <w:vAlign w:val="center"/>
          </w:tcPr>
          <w:p>
            <w:pP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通过时间设置控制设备的开关机</w:t>
            </w:r>
            <w:r>
              <w:rPr>
                <w:rStyle w:val="8"/>
                <w:rFonts w:hint="default"/>
                <w:sz w:val="21"/>
                <w:szCs w:val="21"/>
                <w:lang w:bidi="ar"/>
              </w:rPr>
              <w:t>；</w:t>
            </w:r>
          </w:p>
        </w:tc>
      </w:tr>
    </w:tbl>
    <w:p>
      <w:pPr>
        <w:rPr>
          <w:rFonts w:ascii="宋体" w:hAnsi="宋体" w:eastAsia="宋体" w:cs="宋体"/>
          <w:b/>
          <w:sz w:val="21"/>
          <w:szCs w:val="21"/>
        </w:rPr>
      </w:pPr>
    </w:p>
    <w:p>
      <w:pPr>
        <w:rPr>
          <w:rFonts w:ascii="宋体" w:hAnsi="宋体" w:eastAsia="宋体" w:cs="宋体"/>
          <w:b/>
          <w:sz w:val="21"/>
          <w:szCs w:val="21"/>
        </w:rPr>
      </w:pPr>
    </w:p>
    <w:p>
      <w:pPr>
        <w:jc w:val="center"/>
        <w:rPr>
          <w:rFonts w:ascii="宋体" w:hAnsi="宋体" w:eastAsia="宋体" w:cs="宋体"/>
          <w:sz w:val="21"/>
          <w:szCs w:val="21"/>
        </w:rPr>
      </w:pPr>
      <w:r>
        <w:rPr>
          <w:rFonts w:hint="eastAsia" w:ascii="宋体" w:hAnsi="宋体" w:eastAsia="宋体" w:cs="宋体"/>
          <w:sz w:val="21"/>
          <w:szCs w:val="21"/>
        </w:rPr>
        <w:t>软件功能</w:t>
      </w:r>
    </w:p>
    <w:tbl>
      <w:tblPr>
        <w:tblStyle w:val="3"/>
        <w:tblW w:w="9224" w:type="dxa"/>
        <w:tblInd w:w="-17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1560"/>
        <w:gridCol w:w="766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shd w:val="clear" w:color="auto" w:fill="auto"/>
            <w:noWrap/>
            <w:vAlign w:val="bottom"/>
          </w:tcPr>
          <w:p>
            <w:pPr>
              <w:jc w:val="cente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业务板块</w:t>
            </w:r>
          </w:p>
        </w:tc>
        <w:tc>
          <w:tcPr>
            <w:tcW w:w="7664" w:type="dxa"/>
            <w:shd w:val="clear" w:color="auto" w:fill="auto"/>
            <w:noWrap/>
            <w:vAlign w:val="bottom"/>
          </w:tcPr>
          <w:p>
            <w:pPr>
              <w:jc w:val="center"/>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功能模块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restart"/>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参保缴费</w:t>
            </w: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★人员基本信息查询，提供带数据的系统截图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人员参保信息查询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★人员缴费信息查询，提供带数据的系统截图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★人员月账户信查询，提供带数据的系统截图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★人员年账户信息查询，提供带数据的系统截图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参保缴费信息查询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转移信息查询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社会保险关系终止查询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转入信息查询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restart"/>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养老待遇</w:t>
            </w: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退休信息查询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企业离退休人员查询_单位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退休工资查询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待遇发放信息查询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待遇领取信息查询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个人发放信息变更查询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养老金调整情况查询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省直养老人员信息查询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restart"/>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就业创业</w:t>
            </w: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就业失业证查询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灵活就业登记查询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小微企业担保贷款查询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创业孵化基地查询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就业援助查询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灵活就业人员社保补贴查询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失业登记查询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restart"/>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培训信息</w:t>
            </w: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培训考核查询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培训单位信息查询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培训报名查询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培训证书查询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培训补贴查询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培训班级查询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restart"/>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社保卡</w:t>
            </w: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★社保卡金融信息查询，提供带数据的系统截图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社保卡信息查询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制卡进度查询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领卡网点查询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社保卡历史记录查询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社保卡应用状态查询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人力资源市场</w:t>
            </w: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★招聘会查询，提供带数据的系统截图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restart"/>
            <w:shd w:val="clear" w:color="auto" w:fill="auto"/>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证明打印</w:t>
            </w: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社会保险年度对账单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社会保险缴费明细（养老）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★社会保险缴费明细（养老、工伤、失业），提供带数据的系统截图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0" w:hRule="atLeast"/>
        </w:trPr>
        <w:tc>
          <w:tcPr>
            <w:tcW w:w="1560" w:type="dxa"/>
            <w:vMerge w:val="continue"/>
            <w:shd w:val="clear" w:color="auto" w:fill="auto"/>
            <w:noWrap/>
            <w:vAlign w:val="center"/>
          </w:tcPr>
          <w:p>
            <w:pPr>
              <w:jc w:val="center"/>
              <w:rPr>
                <w:rFonts w:ascii="宋体" w:hAnsi="宋体" w:eastAsia="宋体" w:cs="宋体"/>
                <w:color w:val="000000"/>
                <w:sz w:val="21"/>
                <w:szCs w:val="21"/>
              </w:rPr>
            </w:pPr>
          </w:p>
        </w:tc>
        <w:tc>
          <w:tcPr>
            <w:tcW w:w="7664" w:type="dxa"/>
            <w:shd w:val="clear" w:color="auto" w:fill="auto"/>
            <w:noWrap/>
            <w:vAlign w:val="bottom"/>
          </w:tcPr>
          <w:p>
            <w:pPr>
              <w:jc w:val="left"/>
              <w:textAlignment w:val="bottom"/>
              <w:rPr>
                <w:rFonts w:ascii="宋体" w:hAnsi="宋体" w:eastAsia="宋体" w:cs="宋体"/>
                <w:color w:val="000000"/>
                <w:sz w:val="21"/>
                <w:szCs w:val="21"/>
              </w:rPr>
            </w:pPr>
            <w:r>
              <w:rPr>
                <w:rFonts w:hint="eastAsia" w:ascii="宋体" w:hAnsi="宋体" w:eastAsia="宋体" w:cs="宋体"/>
                <w:color w:val="000000"/>
                <w:kern w:val="0"/>
                <w:sz w:val="21"/>
                <w:szCs w:val="21"/>
                <w:lang w:bidi="ar"/>
              </w:rPr>
              <w:t>企业职工基本养老保险权益记录单（离退休人员）</w:t>
            </w:r>
          </w:p>
        </w:tc>
      </w:tr>
    </w:tbl>
    <w:p>
      <w:pPr>
        <w:rPr>
          <w:rFonts w:ascii="宋体" w:hAnsi="宋体" w:eastAsia="宋体" w:cs="宋体"/>
          <w:b/>
          <w:sz w:val="21"/>
          <w:szCs w:val="21"/>
        </w:rPr>
      </w:pPr>
    </w:p>
    <w:p>
      <w:pPr>
        <w:rPr>
          <w:rFonts w:ascii="宋体" w:hAnsi="宋体" w:eastAsia="宋体" w:cs="宋体"/>
          <w:b/>
          <w:sz w:val="21"/>
          <w:szCs w:val="21"/>
        </w:rPr>
      </w:pPr>
    </w:p>
    <w:p>
      <w:pPr>
        <w:rPr>
          <w:rFonts w:ascii="宋体" w:hAnsi="宋体" w:eastAsia="宋体" w:cs="宋体"/>
          <w:sz w:val="21"/>
          <w:szCs w:val="21"/>
        </w:rPr>
      </w:pPr>
      <w:r>
        <w:rPr>
          <w:rFonts w:hint="eastAsia" w:ascii="宋体" w:hAnsi="宋体" w:eastAsia="宋体" w:cs="宋体"/>
          <w:sz w:val="21"/>
          <w:szCs w:val="21"/>
        </w:rPr>
        <w:t>四、验收方案：</w:t>
      </w:r>
    </w:p>
    <w:p>
      <w:pPr>
        <w:ind w:firstLine="420" w:firstLineChars="200"/>
        <w:rPr>
          <w:rFonts w:ascii="宋体" w:hAnsi="宋体" w:eastAsia="宋体" w:cs="宋体"/>
          <w:sz w:val="21"/>
          <w:szCs w:val="21"/>
        </w:rPr>
      </w:pPr>
      <w:r>
        <w:rPr>
          <w:rFonts w:hint="eastAsia" w:ascii="宋体" w:hAnsi="宋体" w:eastAsia="宋体" w:cs="宋体"/>
          <w:sz w:val="21"/>
          <w:szCs w:val="21"/>
        </w:rPr>
        <w:t>（1）供货</w:t>
      </w:r>
    </w:p>
    <w:p>
      <w:pPr>
        <w:ind w:firstLine="420" w:firstLineChars="200"/>
        <w:rPr>
          <w:rFonts w:ascii="宋体" w:hAnsi="宋体" w:eastAsia="宋体" w:cs="宋体"/>
          <w:sz w:val="21"/>
          <w:szCs w:val="21"/>
        </w:rPr>
      </w:pPr>
      <w:r>
        <w:rPr>
          <w:rFonts w:hint="eastAsia" w:ascii="宋体" w:hAnsi="宋体" w:eastAsia="宋体" w:cs="宋体"/>
          <w:sz w:val="21"/>
          <w:szCs w:val="21"/>
        </w:rPr>
        <w:t>采购与中标供应商签订正式合同后，由采购人发起订单申请，确定需求数量，中标供应商应在合同签订后的30个日历天内完成所有招标设备到指定地点的供货，其中托运、包装和安装、调试费用由中标供应商自行承担。如若不能按期达成，招标人有权直接解除合同。</w:t>
      </w:r>
    </w:p>
    <w:p>
      <w:pPr>
        <w:ind w:firstLine="420" w:firstLineChars="200"/>
        <w:rPr>
          <w:rFonts w:ascii="宋体" w:hAnsi="宋体" w:eastAsia="宋体" w:cs="宋体"/>
          <w:sz w:val="21"/>
          <w:szCs w:val="21"/>
        </w:rPr>
      </w:pPr>
      <w:r>
        <w:rPr>
          <w:rFonts w:hint="eastAsia" w:ascii="宋体" w:hAnsi="宋体" w:eastAsia="宋体" w:cs="宋体"/>
          <w:sz w:val="21"/>
          <w:szCs w:val="21"/>
        </w:rPr>
        <w:t>（2）遵循标准、规范和总体要求</w:t>
      </w:r>
    </w:p>
    <w:p>
      <w:pPr>
        <w:ind w:firstLine="420" w:firstLineChars="200"/>
        <w:rPr>
          <w:rFonts w:ascii="宋体" w:hAnsi="宋体" w:eastAsia="宋体" w:cs="宋体"/>
          <w:sz w:val="21"/>
          <w:szCs w:val="21"/>
        </w:rPr>
      </w:pPr>
      <w:r>
        <w:rPr>
          <w:rFonts w:hint="eastAsia" w:ascii="宋体" w:hAnsi="宋体" w:eastAsia="宋体" w:cs="宋体"/>
          <w:sz w:val="21"/>
          <w:szCs w:val="21"/>
        </w:rPr>
        <w:t>中标供应商提供的设备必须是厂商原装的、全新的，在开箱检验时必须完好，无破损，配置与装箱单相符；设备外观清洁，标记编号以及盘面显示等字体清晰，明确，铭牌、使用指示、警告指示应以中文或英文及易懂的通用符号来表示；应准确无误地表明设备之型号、规格、制造厂及生产或出厂日期，性能及指标符合国家及招标文件提出的有关技术、质量、安全标准。</w:t>
      </w:r>
    </w:p>
    <w:p>
      <w:pPr>
        <w:ind w:firstLine="420" w:firstLineChars="200"/>
        <w:rPr>
          <w:rFonts w:ascii="宋体" w:hAnsi="宋体" w:eastAsia="宋体" w:cs="宋体"/>
          <w:sz w:val="21"/>
          <w:szCs w:val="21"/>
        </w:rPr>
      </w:pPr>
      <w:r>
        <w:rPr>
          <w:rFonts w:hint="eastAsia" w:ascii="宋体" w:hAnsi="宋体" w:eastAsia="宋体" w:cs="宋体"/>
          <w:sz w:val="21"/>
          <w:szCs w:val="21"/>
        </w:rPr>
        <w:t>人社自助服务一体机系统属于人力资源和社会保障信息化应用系统的重要组成部分，需要遵循国家人社部信息化建设的主要技术标准，应用系统具体遵循以下规范：</w:t>
      </w:r>
    </w:p>
    <w:p>
      <w:pPr>
        <w:ind w:firstLine="420" w:firstLineChars="200"/>
        <w:rPr>
          <w:rFonts w:ascii="宋体" w:hAnsi="宋体" w:eastAsia="宋体" w:cs="宋体"/>
          <w:sz w:val="21"/>
          <w:szCs w:val="21"/>
        </w:rPr>
      </w:pPr>
      <w:r>
        <w:rPr>
          <w:rFonts w:hint="eastAsia" w:ascii="宋体" w:hAnsi="宋体" w:eastAsia="宋体" w:cs="宋体"/>
          <w:sz w:val="21"/>
          <w:szCs w:val="21"/>
        </w:rPr>
        <w:t>1.各项标准、规范的制定严格遵守国家、人社部、省的有关规定和要求。</w:t>
      </w:r>
    </w:p>
    <w:p>
      <w:pPr>
        <w:ind w:firstLine="420" w:firstLineChars="200"/>
        <w:rPr>
          <w:rFonts w:ascii="宋体" w:hAnsi="宋体" w:eastAsia="宋体" w:cs="宋体"/>
          <w:sz w:val="21"/>
          <w:szCs w:val="21"/>
        </w:rPr>
      </w:pPr>
      <w:r>
        <w:rPr>
          <w:rFonts w:hint="eastAsia" w:ascii="宋体" w:hAnsi="宋体" w:eastAsia="宋体" w:cs="宋体"/>
          <w:sz w:val="21"/>
          <w:szCs w:val="21"/>
        </w:rPr>
        <w:t>2.国际标准（ISO）：《信息技术互连国际标准（ISO/IEC11801-95）》。</w:t>
      </w:r>
    </w:p>
    <w:p>
      <w:pPr>
        <w:ind w:firstLine="420" w:firstLineChars="200"/>
        <w:rPr>
          <w:rFonts w:ascii="宋体" w:hAnsi="宋体" w:eastAsia="宋体" w:cs="宋体"/>
          <w:sz w:val="21"/>
          <w:szCs w:val="21"/>
        </w:rPr>
      </w:pPr>
      <w:r>
        <w:rPr>
          <w:rFonts w:hint="eastAsia" w:ascii="宋体" w:hAnsi="宋体" w:eastAsia="宋体" w:cs="宋体"/>
          <w:sz w:val="21"/>
          <w:szCs w:val="21"/>
        </w:rPr>
        <w:t>3.国家强制性标准（GB）：《软件开发规范（GB8566-88）》、《计算机软件测文件编制指南（GB9386-88）》。</w:t>
      </w:r>
    </w:p>
    <w:p>
      <w:pPr>
        <w:ind w:firstLine="420" w:firstLineChars="200"/>
        <w:rPr>
          <w:rFonts w:ascii="宋体" w:hAnsi="宋体" w:eastAsia="宋体" w:cs="宋体"/>
          <w:sz w:val="21"/>
          <w:szCs w:val="21"/>
        </w:rPr>
      </w:pPr>
      <w:r>
        <w:rPr>
          <w:rFonts w:hint="eastAsia" w:ascii="宋体" w:hAnsi="宋体" w:eastAsia="宋体" w:cs="宋体"/>
          <w:sz w:val="21"/>
          <w:szCs w:val="21"/>
        </w:rPr>
        <w:t>4.国家推荐性标准（GB/T）：《信息技术、软件包质量要求和测试（GB/T17544-1998）》、《软件工程标准分类法》（GB/T15538-1995）。</w:t>
      </w:r>
    </w:p>
    <w:p>
      <w:pPr>
        <w:ind w:firstLine="420" w:firstLineChars="200"/>
        <w:rPr>
          <w:rFonts w:ascii="宋体" w:hAnsi="宋体" w:eastAsia="宋体" w:cs="宋体"/>
          <w:sz w:val="21"/>
          <w:szCs w:val="21"/>
        </w:rPr>
      </w:pPr>
      <w:r>
        <w:rPr>
          <w:rFonts w:hint="eastAsia" w:ascii="宋体" w:hAnsi="宋体" w:eastAsia="宋体" w:cs="宋体"/>
          <w:sz w:val="21"/>
          <w:szCs w:val="21"/>
        </w:rPr>
        <w:t>5.劳动保障行业标准（LD）。</w:t>
      </w:r>
    </w:p>
    <w:p>
      <w:pPr>
        <w:ind w:firstLine="420" w:firstLineChars="200"/>
        <w:rPr>
          <w:rFonts w:ascii="宋体" w:hAnsi="宋体" w:eastAsia="宋体" w:cs="宋体"/>
          <w:sz w:val="21"/>
          <w:szCs w:val="21"/>
        </w:rPr>
      </w:pPr>
      <w:r>
        <w:rPr>
          <w:rFonts w:hint="eastAsia" w:ascii="宋体" w:hAnsi="宋体" w:eastAsia="宋体" w:cs="宋体"/>
          <w:sz w:val="21"/>
          <w:szCs w:val="21"/>
        </w:rPr>
        <w:t>6.劳动保障信息系统标准（LB）：《劳动和社会保障政策法规库分类编码（LB502-1999）。</w:t>
      </w:r>
    </w:p>
    <w:p>
      <w:pPr>
        <w:ind w:firstLine="420" w:firstLineChars="200"/>
        <w:rPr>
          <w:rFonts w:ascii="宋体" w:hAnsi="宋体" w:eastAsia="宋体" w:cs="宋体"/>
          <w:sz w:val="21"/>
          <w:szCs w:val="21"/>
        </w:rPr>
      </w:pPr>
      <w:r>
        <w:rPr>
          <w:rFonts w:hint="eastAsia" w:ascii="宋体" w:hAnsi="宋体" w:eastAsia="宋体" w:cs="宋体"/>
          <w:sz w:val="21"/>
          <w:szCs w:val="21"/>
        </w:rPr>
        <w:t>7.信息编码和信息分类代码编制遵守《劳动和社会保险管理信息系统信息结构通则（LB001-2000）》。</w:t>
      </w:r>
    </w:p>
    <w:p>
      <w:pPr>
        <w:ind w:firstLine="420" w:firstLineChars="200"/>
        <w:rPr>
          <w:rFonts w:ascii="宋体" w:hAnsi="宋体" w:eastAsia="宋体" w:cs="宋体"/>
          <w:sz w:val="21"/>
          <w:szCs w:val="21"/>
        </w:rPr>
      </w:pPr>
      <w:r>
        <w:rPr>
          <w:rFonts w:hint="eastAsia" w:ascii="宋体" w:hAnsi="宋体" w:eastAsia="宋体" w:cs="宋体"/>
          <w:sz w:val="21"/>
          <w:szCs w:val="21"/>
        </w:rPr>
        <w:t>8.同属性同内涵的业务数据库（表）和业务指标编码在各业务系统中应保持一致。</w:t>
      </w:r>
    </w:p>
    <w:p>
      <w:pPr>
        <w:ind w:firstLine="420" w:firstLineChars="200"/>
        <w:rPr>
          <w:rFonts w:ascii="宋体" w:hAnsi="宋体" w:eastAsia="宋体" w:cs="宋体"/>
          <w:sz w:val="21"/>
          <w:szCs w:val="21"/>
        </w:rPr>
      </w:pPr>
      <w:r>
        <w:rPr>
          <w:rFonts w:hint="eastAsia" w:ascii="宋体" w:hAnsi="宋体" w:eastAsia="宋体" w:cs="宋体"/>
          <w:sz w:val="21"/>
          <w:szCs w:val="21"/>
        </w:rPr>
        <w:t>（3）安装调试</w:t>
      </w:r>
    </w:p>
    <w:p>
      <w:pPr>
        <w:ind w:firstLine="420" w:firstLineChars="200"/>
        <w:rPr>
          <w:rFonts w:ascii="宋体" w:hAnsi="宋体" w:eastAsia="宋体" w:cs="宋体"/>
          <w:sz w:val="21"/>
          <w:szCs w:val="21"/>
        </w:rPr>
      </w:pPr>
      <w:r>
        <w:rPr>
          <w:rFonts w:hint="eastAsia" w:ascii="宋体" w:hAnsi="宋体" w:eastAsia="宋体" w:cs="宋体"/>
          <w:sz w:val="21"/>
          <w:szCs w:val="21"/>
        </w:rPr>
        <w:t>中标供应商应在施工前提供详细的安装调试方案，并提交采购人认可。调试所需专用工具设施物料由中标供应商自备。在现场安装调试期间，如果系统出现不正常情况（如设备损坏、故障、达不到技术规范或设备说明书的指标），中标供应商应免费在不延误工期的情况下从速替换。</w:t>
      </w:r>
    </w:p>
    <w:p>
      <w:pPr>
        <w:ind w:firstLine="420" w:firstLineChars="200"/>
        <w:rPr>
          <w:rFonts w:ascii="宋体" w:hAnsi="宋体" w:eastAsia="宋体" w:cs="宋体"/>
          <w:sz w:val="21"/>
          <w:szCs w:val="21"/>
        </w:rPr>
      </w:pPr>
      <w:r>
        <w:rPr>
          <w:rFonts w:hint="eastAsia" w:ascii="宋体" w:hAnsi="宋体" w:eastAsia="宋体" w:cs="宋体"/>
          <w:sz w:val="21"/>
          <w:szCs w:val="21"/>
        </w:rPr>
        <w:t>（4）验收</w:t>
      </w:r>
    </w:p>
    <w:p>
      <w:pPr>
        <w:ind w:firstLine="420" w:firstLineChars="200"/>
        <w:rPr>
          <w:rFonts w:ascii="宋体" w:hAnsi="宋体" w:eastAsia="宋体" w:cs="宋体"/>
          <w:sz w:val="21"/>
          <w:szCs w:val="21"/>
        </w:rPr>
      </w:pPr>
      <w:r>
        <w:rPr>
          <w:rFonts w:hint="eastAsia" w:ascii="宋体" w:hAnsi="宋体" w:eastAsia="宋体" w:cs="宋体"/>
          <w:sz w:val="21"/>
          <w:szCs w:val="21"/>
        </w:rPr>
        <w:t>中标供应商必须在合同规定的时间内，以完工验收申请报告形式书面通知采购人以声明整个系统安装调试完毕，提出验收申请。</w:t>
      </w:r>
    </w:p>
    <w:p>
      <w:pPr>
        <w:ind w:firstLine="420" w:firstLineChars="200"/>
        <w:rPr>
          <w:rFonts w:ascii="宋体" w:hAnsi="宋体" w:eastAsia="宋体" w:cs="宋体"/>
          <w:sz w:val="21"/>
          <w:szCs w:val="21"/>
        </w:rPr>
      </w:pPr>
      <w:r>
        <w:rPr>
          <w:rFonts w:hint="eastAsia" w:ascii="宋体" w:hAnsi="宋体" w:eastAsia="宋体" w:cs="宋体"/>
          <w:sz w:val="21"/>
          <w:szCs w:val="21"/>
        </w:rPr>
        <w:t>采购人和中标供应商一起，对整个系统集成依据合同要求进行检查测试；对集成的每一部分进行诊断，并对系统进行验收。</w:t>
      </w:r>
    </w:p>
    <w:p>
      <w:pPr>
        <w:ind w:firstLine="420" w:firstLineChars="200"/>
        <w:rPr>
          <w:rFonts w:ascii="宋体" w:hAnsi="宋体" w:eastAsia="宋体" w:cs="宋体"/>
          <w:sz w:val="21"/>
          <w:szCs w:val="21"/>
        </w:rPr>
      </w:pPr>
      <w:r>
        <w:rPr>
          <w:rFonts w:hint="eastAsia" w:ascii="宋体" w:hAnsi="宋体" w:eastAsia="宋体" w:cs="宋体"/>
          <w:sz w:val="21"/>
          <w:szCs w:val="21"/>
        </w:rPr>
        <w:t>（5）售后服务要求</w:t>
      </w:r>
    </w:p>
    <w:p>
      <w:pPr>
        <w:ind w:firstLine="420" w:firstLineChars="200"/>
        <w:rPr>
          <w:rFonts w:ascii="宋体" w:hAnsi="宋体" w:eastAsia="宋体" w:cs="宋体"/>
          <w:sz w:val="21"/>
          <w:szCs w:val="21"/>
        </w:rPr>
      </w:pPr>
      <w:r>
        <w:rPr>
          <w:rFonts w:hint="eastAsia" w:ascii="宋体" w:hAnsi="宋体" w:eastAsia="宋体" w:cs="宋体"/>
          <w:sz w:val="21"/>
          <w:szCs w:val="21"/>
        </w:rPr>
        <w:t>保修期自双方代表在验收单上签字之日起计算，保修期内，中标供应商负责对接产品厂家对其提供的设备、软件进行现场维修，不收取额外费用；如因主机的损坏、配件的损坏、接口的损坏等原因引起的质量问题，要求原厂商提供更换设备或免费维护的服务。</w:t>
      </w:r>
    </w:p>
    <w:p>
      <w:pPr>
        <w:ind w:firstLine="420" w:firstLineChars="200"/>
        <w:rPr>
          <w:rFonts w:ascii="宋体" w:hAnsi="宋体" w:eastAsia="宋体" w:cs="宋体"/>
          <w:sz w:val="21"/>
          <w:szCs w:val="21"/>
        </w:rPr>
      </w:pPr>
      <w:r>
        <w:rPr>
          <w:rFonts w:hint="eastAsia" w:ascii="宋体" w:hAnsi="宋体" w:eastAsia="宋体" w:cs="宋体"/>
          <w:sz w:val="21"/>
          <w:szCs w:val="21"/>
        </w:rPr>
        <w:t>合同届满之前，买方遇有重大活动时，中标供应商在采购人规定时间内指派专业技术人员到达现场实施保障服务，以确保采购人特殊时期工作不发生中断。</w:t>
      </w:r>
    </w:p>
    <w:p>
      <w:pPr>
        <w:ind w:firstLine="420" w:firstLineChars="200"/>
        <w:rPr>
          <w:rFonts w:ascii="宋体" w:hAnsi="宋体" w:eastAsia="宋体" w:cs="宋体"/>
          <w:sz w:val="21"/>
          <w:szCs w:val="21"/>
        </w:rPr>
      </w:pPr>
      <w:r>
        <w:rPr>
          <w:rFonts w:hint="eastAsia" w:ascii="宋体" w:hAnsi="宋体" w:eastAsia="宋体" w:cs="宋体"/>
          <w:sz w:val="21"/>
          <w:szCs w:val="21"/>
        </w:rPr>
        <w:t>中标供应商提供7*24小时一年免费保修服务。</w:t>
      </w:r>
    </w:p>
    <w:p>
      <w:pPr>
        <w:ind w:firstLine="420" w:firstLineChars="200"/>
        <w:rPr>
          <w:rFonts w:ascii="宋体" w:hAnsi="宋体" w:eastAsia="宋体" w:cs="宋体"/>
          <w:sz w:val="21"/>
          <w:szCs w:val="21"/>
        </w:rPr>
      </w:pPr>
      <w:r>
        <w:rPr>
          <w:rFonts w:hint="eastAsia" w:ascii="宋体" w:hAnsi="宋体" w:eastAsia="宋体" w:cs="宋体"/>
          <w:sz w:val="21"/>
          <w:szCs w:val="21"/>
        </w:rPr>
        <w:t>服务期满后，采购人要求中标供应商提供有偿售后服务的，中标供应商须承诺提供，并且有偿服务内容不得低于质保期内的服务条款要求。投标文件须提出一年服务期满后，每年有偿服务的维护内容、服务方式、服务范围等详细情况，供采购人参考，服务费用报价不计入项目总价，采购人将根据需要，在服务期满经双方协商后，签订相关售后服务合同。</w:t>
      </w:r>
    </w:p>
    <w:p>
      <w:pPr>
        <w:ind w:firstLine="420" w:firstLineChars="200"/>
        <w:rPr>
          <w:rFonts w:ascii="宋体" w:hAnsi="宋体" w:eastAsia="宋体" w:cs="宋体"/>
          <w:sz w:val="21"/>
          <w:szCs w:val="21"/>
        </w:rPr>
      </w:pPr>
      <w:r>
        <w:rPr>
          <w:rFonts w:hint="eastAsia" w:ascii="宋体" w:hAnsi="宋体" w:eastAsia="宋体" w:cs="宋体"/>
          <w:sz w:val="21"/>
          <w:szCs w:val="21"/>
        </w:rPr>
        <w:t>（6）培训服务</w:t>
      </w:r>
    </w:p>
    <w:p>
      <w:pPr>
        <w:ind w:firstLine="420" w:firstLineChars="200"/>
        <w:rPr>
          <w:rFonts w:ascii="宋体" w:hAnsi="宋体" w:eastAsia="宋体" w:cs="宋体"/>
          <w:sz w:val="21"/>
          <w:szCs w:val="21"/>
        </w:rPr>
      </w:pPr>
      <w:r>
        <w:rPr>
          <w:rFonts w:hint="eastAsia" w:ascii="宋体" w:hAnsi="宋体" w:eastAsia="宋体" w:cs="宋体"/>
          <w:sz w:val="21"/>
          <w:szCs w:val="21"/>
        </w:rPr>
        <w:t>中标供应商必须根据本次招标文件所制定的目标和范围，针对各类人员的培训计划、培训内容等提出具体方案和操作手册。</w:t>
      </w:r>
    </w:p>
    <w:p>
      <w:pPr>
        <w:ind w:firstLine="420" w:firstLineChars="200"/>
        <w:rPr>
          <w:rFonts w:ascii="宋体" w:hAnsi="宋体" w:eastAsia="宋体" w:cs="宋体"/>
          <w:sz w:val="21"/>
          <w:szCs w:val="21"/>
        </w:rPr>
      </w:pPr>
      <w:r>
        <w:rPr>
          <w:rFonts w:hint="eastAsia" w:ascii="宋体" w:hAnsi="宋体" w:eastAsia="宋体" w:cs="宋体"/>
          <w:sz w:val="21"/>
          <w:szCs w:val="21"/>
        </w:rPr>
        <w:t>1.中标供应商负责为采购人的技术人员进行免费产品培训，培训方式必须包含现场培训，技术培训至少应包括下列内容：原理、构成和功能的描述；常见故障的处理或排除；各系统部件（设备）的检查、调整和维护；对使用者关于设备基本操作技能的培训。</w:t>
      </w:r>
    </w:p>
    <w:p>
      <w:pPr>
        <w:ind w:firstLine="420" w:firstLineChars="200"/>
        <w:rPr>
          <w:rFonts w:ascii="宋体" w:hAnsi="宋体" w:eastAsia="宋体" w:cs="宋体"/>
          <w:sz w:val="21"/>
          <w:szCs w:val="21"/>
        </w:rPr>
      </w:pPr>
      <w:r>
        <w:rPr>
          <w:rFonts w:hint="eastAsia" w:ascii="宋体" w:hAnsi="宋体" w:eastAsia="宋体" w:cs="宋体"/>
          <w:sz w:val="21"/>
          <w:szCs w:val="21"/>
        </w:rPr>
        <w:t>2.如果在保修期内，采购人操作人员变动，中标供应商应按采购人要求对新的操作人员提供免费培训。</w:t>
      </w:r>
    </w:p>
    <w:p>
      <w:pPr>
        <w:ind w:firstLine="420" w:firstLineChars="200"/>
        <w:rPr>
          <w:rFonts w:ascii="宋体" w:hAnsi="宋体" w:eastAsia="宋体" w:cs="宋体"/>
          <w:sz w:val="21"/>
          <w:szCs w:val="21"/>
        </w:rPr>
      </w:pPr>
      <w:r>
        <w:rPr>
          <w:rFonts w:hint="eastAsia" w:ascii="宋体" w:hAnsi="宋体" w:eastAsia="宋体" w:cs="宋体"/>
          <w:sz w:val="21"/>
          <w:szCs w:val="21"/>
        </w:rPr>
        <w:t>（7）故障响应</w:t>
      </w:r>
    </w:p>
    <w:p>
      <w:pPr>
        <w:ind w:firstLine="420" w:firstLineChars="200"/>
        <w:rPr>
          <w:rFonts w:ascii="宋体" w:hAnsi="宋体" w:eastAsia="宋体" w:cs="宋体"/>
          <w:sz w:val="21"/>
          <w:szCs w:val="21"/>
        </w:rPr>
      </w:pPr>
      <w:r>
        <w:rPr>
          <w:rFonts w:hint="eastAsia" w:ascii="宋体" w:hAnsi="宋体" w:eastAsia="宋体" w:cs="宋体"/>
          <w:sz w:val="21"/>
          <w:szCs w:val="21"/>
        </w:rPr>
        <w:t>设备在质保期内发生软、硬件故障，中标供应商应及时予以响应，免费上门服务。否则采购人将自行采取必要的措施，由此产生风险和费用应由中标供应商承担。</w:t>
      </w:r>
    </w:p>
    <w:p>
      <w:pPr>
        <w:ind w:firstLine="420" w:firstLineChars="200"/>
        <w:rPr>
          <w:rFonts w:ascii="宋体" w:hAnsi="宋体" w:eastAsia="宋体" w:cs="宋体"/>
          <w:sz w:val="21"/>
          <w:szCs w:val="21"/>
        </w:rPr>
      </w:pPr>
      <w:r>
        <w:rPr>
          <w:rFonts w:hint="eastAsia" w:ascii="宋体" w:hAnsi="宋体" w:eastAsia="宋体" w:cs="宋体"/>
          <w:sz w:val="21"/>
          <w:szCs w:val="21"/>
        </w:rPr>
        <w:t>中标供应商须提供7*24小时技术支撑服务，对采购人所提出的维修要求应在1小时内作出实质性响应，提供应急解决方案，4小时内解决问题，如需现场服务的，到达现场时间应小于8小时。</w:t>
      </w:r>
    </w:p>
    <w:p>
      <w:pPr>
        <w:rPr>
          <w:rFonts w:ascii="宋体" w:hAnsi="宋体" w:eastAsia="宋体" w:cs="宋体"/>
          <w:sz w:val="21"/>
          <w:szCs w:val="21"/>
        </w:rPr>
      </w:pPr>
      <w:r>
        <w:rPr>
          <w:rFonts w:hint="eastAsia" w:ascii="宋体" w:hAnsi="宋体" w:eastAsia="宋体" w:cs="宋体"/>
          <w:sz w:val="21"/>
          <w:szCs w:val="21"/>
        </w:rPr>
        <w:t>五、综合说明</w:t>
      </w:r>
    </w:p>
    <w:p>
      <w:pPr>
        <w:ind w:firstLine="420" w:firstLineChars="200"/>
        <w:rPr>
          <w:rFonts w:ascii="宋体" w:hAnsi="宋体" w:eastAsia="宋体" w:cs="宋体"/>
          <w:sz w:val="21"/>
          <w:szCs w:val="21"/>
        </w:rPr>
      </w:pPr>
      <w:r>
        <w:rPr>
          <w:rFonts w:hint="eastAsia" w:ascii="宋体" w:hAnsi="宋体" w:eastAsia="宋体" w:cs="宋体"/>
          <w:sz w:val="21"/>
          <w:szCs w:val="21"/>
        </w:rPr>
        <w:t>1.投标人在投标材料中必须提供原厂样本资料，不得使用复印件或打印件，提供的样本资料和以往的资料或原厂网站上不同的必须注明，并承诺其真实性，若原厂没有纸质的样本资料，必须提供原厂的网址，不接受移动存储设备里的材料和信息。</w:t>
      </w:r>
    </w:p>
    <w:p>
      <w:pPr>
        <w:ind w:firstLine="420" w:firstLineChars="200"/>
        <w:rPr>
          <w:rFonts w:ascii="宋体" w:hAnsi="宋体" w:eastAsia="宋体" w:cs="宋体"/>
          <w:sz w:val="21"/>
          <w:szCs w:val="21"/>
        </w:rPr>
      </w:pPr>
      <w:r>
        <w:rPr>
          <w:rFonts w:hint="eastAsia" w:ascii="宋体" w:hAnsi="宋体" w:eastAsia="宋体" w:cs="宋体"/>
          <w:sz w:val="21"/>
          <w:szCs w:val="21"/>
        </w:rPr>
        <w:t>2.投标人须明确所投设备的生产厂家、品牌、型号、规格和外形、尺寸等；提供详细的技术参数和使用的材料的清单，提供说明书。所提供的彩页或说明书须具有本次投标设备的品牌、规格、详细技术参数等内容。</w:t>
      </w:r>
    </w:p>
    <w:p>
      <w:pPr>
        <w:ind w:firstLine="420" w:firstLineChars="200"/>
        <w:rPr>
          <w:rFonts w:ascii="宋体" w:hAnsi="宋体" w:eastAsia="宋体" w:cs="宋体"/>
          <w:sz w:val="21"/>
          <w:szCs w:val="21"/>
        </w:rPr>
      </w:pPr>
      <w:r>
        <w:rPr>
          <w:rFonts w:hint="eastAsia" w:ascii="宋体" w:hAnsi="宋体" w:eastAsia="宋体" w:cs="宋体"/>
          <w:sz w:val="21"/>
          <w:szCs w:val="21"/>
        </w:rPr>
        <w:t>3.投标人必须承诺招标文件中提出的全部技术规格与要求，如果以其中某些条款不响应时，应在文件中逐条列出，未列出的视同响应。</w:t>
      </w:r>
    </w:p>
    <w:p>
      <w:pPr>
        <w:ind w:firstLine="420" w:firstLineChars="200"/>
        <w:rPr>
          <w:rFonts w:ascii="宋体" w:hAnsi="宋体" w:eastAsia="宋体" w:cs="宋体"/>
          <w:sz w:val="21"/>
          <w:szCs w:val="21"/>
        </w:rPr>
      </w:pPr>
      <w:r>
        <w:rPr>
          <w:rFonts w:hint="eastAsia" w:ascii="宋体" w:hAnsi="宋体" w:eastAsia="宋体" w:cs="宋体"/>
          <w:sz w:val="21"/>
          <w:szCs w:val="21"/>
        </w:rPr>
        <w:t>4.投标总报价一次报定，总报价包括全部货物、辅助材料、安装、调试、人工、机械、运输、仓储、保险、运费、各种税费、劳保、专利技术及质保期间等一切费用。</w:t>
      </w:r>
    </w:p>
    <w:p>
      <w:pPr>
        <w:ind w:firstLine="420" w:firstLineChars="200"/>
        <w:rPr>
          <w:rFonts w:ascii="宋体" w:hAnsi="宋体" w:eastAsia="宋体" w:cs="宋体"/>
          <w:sz w:val="21"/>
          <w:szCs w:val="21"/>
        </w:rPr>
      </w:pPr>
      <w:r>
        <w:rPr>
          <w:rFonts w:hint="eastAsia" w:ascii="宋体" w:hAnsi="宋体" w:eastAsia="宋体" w:cs="宋体"/>
          <w:sz w:val="21"/>
          <w:szCs w:val="21"/>
        </w:rPr>
        <w:t>5.对于中标供应商的中标方案，采购单位有权要求中标供应商进行修改和调整以便达到实际采购需求，中标供应商应无条件全力配合，所有货物交付使用前必须经采购方确认。</w:t>
      </w:r>
    </w:p>
    <w:p>
      <w:pPr>
        <w:ind w:firstLine="420" w:firstLineChars="200"/>
        <w:rPr>
          <w:rFonts w:ascii="宋体" w:hAnsi="宋体" w:eastAsia="宋体" w:cs="宋体"/>
          <w:sz w:val="21"/>
          <w:szCs w:val="21"/>
        </w:rPr>
      </w:pPr>
      <w:r>
        <w:rPr>
          <w:rFonts w:hint="eastAsia" w:ascii="宋体" w:hAnsi="宋体" w:eastAsia="宋体" w:cs="宋体"/>
          <w:sz w:val="21"/>
          <w:szCs w:val="21"/>
        </w:rPr>
        <w:t>6.投标人应对所投项目的全部内容进行报价，只投其中部分内容者，其标书将被拒绝。</w:t>
      </w:r>
    </w:p>
    <w:p>
      <w:pPr>
        <w:ind w:firstLine="420" w:firstLineChars="200"/>
        <w:rPr>
          <w:rFonts w:ascii="宋体" w:hAnsi="宋体" w:eastAsia="宋体" w:cs="宋体"/>
          <w:sz w:val="21"/>
          <w:szCs w:val="21"/>
        </w:rPr>
      </w:pPr>
      <w:r>
        <w:rPr>
          <w:rFonts w:hint="eastAsia" w:ascii="宋体" w:hAnsi="宋体" w:eastAsia="宋体" w:cs="宋体"/>
          <w:sz w:val="21"/>
          <w:szCs w:val="21"/>
        </w:rPr>
        <w:t>7.中标供应商对货物缺陷不予更正，采购人有权另请其他单位更正。</w:t>
      </w:r>
    </w:p>
    <w:p>
      <w:pPr>
        <w:ind w:firstLine="420" w:firstLineChars="200"/>
        <w:rPr>
          <w:rFonts w:ascii="宋体" w:hAnsi="宋体" w:eastAsia="宋体" w:cs="宋体"/>
          <w:sz w:val="21"/>
          <w:szCs w:val="21"/>
        </w:rPr>
      </w:pPr>
      <w:r>
        <w:rPr>
          <w:rFonts w:hint="eastAsia" w:ascii="宋体" w:hAnsi="宋体" w:eastAsia="宋体" w:cs="宋体"/>
          <w:sz w:val="21"/>
          <w:szCs w:val="21"/>
        </w:rPr>
        <w:t>8.交付日期：合同签订后 30个日历日。</w:t>
      </w:r>
    </w:p>
    <w:p>
      <w:pPr>
        <w:ind w:firstLine="420" w:firstLineChars="200"/>
        <w:rPr>
          <w:rFonts w:ascii="宋体" w:hAnsi="宋体" w:eastAsia="宋体" w:cs="宋体"/>
          <w:sz w:val="21"/>
          <w:szCs w:val="21"/>
        </w:rPr>
      </w:pPr>
      <w:r>
        <w:rPr>
          <w:rFonts w:hint="eastAsia" w:ascii="宋体" w:hAnsi="宋体" w:eastAsia="宋体" w:cs="宋体"/>
          <w:sz w:val="21"/>
          <w:szCs w:val="21"/>
        </w:rPr>
        <w:t>9.交货地点：根据采购方要求送达指定地点。</w:t>
      </w:r>
    </w:p>
    <w:p>
      <w:pPr>
        <w:ind w:firstLine="420" w:firstLineChars="200"/>
        <w:rPr>
          <w:rFonts w:ascii="宋体" w:hAnsi="宋体" w:eastAsia="宋体" w:cs="宋体"/>
          <w:sz w:val="21"/>
          <w:szCs w:val="21"/>
        </w:rPr>
      </w:pPr>
      <w:r>
        <w:rPr>
          <w:rFonts w:hint="eastAsia" w:ascii="宋体" w:hAnsi="宋体" w:eastAsia="宋体" w:cs="宋体"/>
          <w:sz w:val="21"/>
          <w:szCs w:val="21"/>
        </w:rPr>
        <w:t>10.验收标准：设备安装后，需方按国际和国家标准及厂方标准进行质量验收。供方应向需方提供详细的验收标准、验收手册。当双方对验收标准有争议时，可委托双方一致认可的国家相关权威检测中心进行检测，费用由供方承担。</w:t>
      </w:r>
    </w:p>
    <w:p>
      <w:pPr>
        <w:ind w:firstLine="420" w:firstLineChars="200"/>
        <w:rPr>
          <w:rFonts w:ascii="宋体" w:hAnsi="宋体" w:eastAsia="宋体" w:cs="宋体"/>
          <w:sz w:val="21"/>
          <w:szCs w:val="21"/>
        </w:rPr>
      </w:pPr>
      <w:r>
        <w:rPr>
          <w:rFonts w:hint="eastAsia" w:ascii="宋体" w:hAnsi="宋体" w:eastAsia="宋体" w:cs="宋体"/>
          <w:sz w:val="21"/>
          <w:szCs w:val="21"/>
        </w:rPr>
        <w:t>11.中标供应商必须保证提供的产品、技术、资料等不存在任何侵犯第三方知识产权的情形；如采购人因此遭受第三方索赔或起诉，中标供应商必须承诺自费就上述索赔或起诉为采购人答辩，并承担采购人因此遭受的全部损失和费用。</w:t>
      </w:r>
    </w:p>
    <w:p>
      <w:pPr>
        <w:ind w:firstLine="420" w:firstLineChars="200"/>
        <w:rPr>
          <w:rFonts w:ascii="宋体" w:hAnsi="宋体" w:eastAsia="宋体" w:cs="宋体"/>
          <w:sz w:val="21"/>
          <w:szCs w:val="21"/>
        </w:rPr>
      </w:pPr>
      <w:r>
        <w:rPr>
          <w:rFonts w:hint="eastAsia" w:ascii="宋体" w:hAnsi="宋体" w:eastAsia="宋体" w:cs="宋体"/>
          <w:sz w:val="21"/>
          <w:szCs w:val="21"/>
        </w:rPr>
        <w:t>12.凡涉及招标文件的补充说明和修改，均以采购单位发布的通知为准。</w:t>
      </w:r>
    </w:p>
    <w:p>
      <w:pPr>
        <w:pStyle w:val="6"/>
        <w:tabs>
          <w:tab w:val="left" w:pos="709"/>
        </w:tabs>
        <w:snapToGrid w:val="0"/>
        <w:ind w:firstLine="420" w:firstLineChars="200"/>
        <w:rPr>
          <w:rFonts w:hAnsi="宋体" w:eastAsia="宋体" w:cs="宋体"/>
          <w:sz w:val="21"/>
          <w:szCs w:val="21"/>
          <w:highlight w:val="yellow"/>
        </w:rPr>
      </w:pPr>
    </w:p>
    <w:p>
      <w:pPr>
        <w:ind w:firstLine="420" w:firstLineChars="200"/>
        <w:rPr>
          <w:rFonts w:ascii="宋体" w:hAnsi="宋体" w:eastAsia="宋体" w:cs="宋体"/>
          <w:sz w:val="21"/>
          <w:szCs w:val="21"/>
        </w:rPr>
      </w:pPr>
      <w:r>
        <w:rPr>
          <w:rFonts w:hint="eastAsia" w:ascii="宋体" w:hAnsi="宋体" w:eastAsia="宋体" w:cs="宋体"/>
          <w:sz w:val="21"/>
          <w:szCs w:val="21"/>
        </w:rPr>
        <w:t>六、付款方式</w:t>
      </w:r>
    </w:p>
    <w:p>
      <w:r>
        <w:rPr>
          <w:rFonts w:hint="eastAsia" w:ascii="宋体" w:hAnsi="宋体" w:eastAsia="宋体" w:cs="宋体"/>
          <w:sz w:val="21"/>
          <w:szCs w:val="21"/>
        </w:rPr>
        <w:t>完成项目合同约定所有内容，经验收合格后支付合同款。</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01D2A"/>
    <w:rsid w:val="19101D2A"/>
    <w:rsid w:val="431C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NormalCharacter"/>
    <w:qFormat/>
    <w:uiPriority w:val="99"/>
  </w:style>
  <w:style w:type="paragraph" w:customStyle="1" w:styleId="6">
    <w:name w:val="纯文本1"/>
    <w:basedOn w:val="1"/>
    <w:qFormat/>
    <w:uiPriority w:val="0"/>
    <w:pPr>
      <w:adjustRightInd w:val="0"/>
    </w:pPr>
    <w:rPr>
      <w:rFonts w:ascii="宋体" w:hAnsi="Courier New"/>
    </w:rPr>
  </w:style>
  <w:style w:type="character" w:customStyle="1" w:styleId="7">
    <w:name w:val="font21"/>
    <w:qFormat/>
    <w:uiPriority w:val="0"/>
    <w:rPr>
      <w:rFonts w:hint="eastAsia" w:ascii="宋体" w:hAnsi="宋体" w:eastAsia="宋体" w:cs="宋体"/>
      <w:color w:val="000000"/>
      <w:sz w:val="21"/>
      <w:szCs w:val="21"/>
      <w:u w:val="none"/>
    </w:rPr>
  </w:style>
  <w:style w:type="character" w:customStyle="1" w:styleId="8">
    <w:name w:val="font11"/>
    <w:qFormat/>
    <w:uiPriority w:val="0"/>
    <w:rPr>
      <w:rFonts w:hint="eastAsia" w:ascii="宋体" w:hAnsi="宋体" w:eastAsia="宋体" w:cs="宋体"/>
      <w:color w:val="000000"/>
      <w:sz w:val="20"/>
      <w:szCs w:val="20"/>
      <w:u w:val="none"/>
    </w:rPr>
  </w:style>
  <w:style w:type="paragraph" w:customStyle="1" w:styleId="9">
    <w:name w:val="页眉1"/>
    <w:basedOn w:val="1"/>
    <w:qFormat/>
    <w:uiPriority w:val="99"/>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2022-10-10T03:00:00Z</dcterms:created>
  <dc:creator>L</dc:creator>
  <cp:lastModifiedBy>L</cp:lastModifiedBy>
  <dcterms:modified xsi:type="dcterms:W3CDTF">2022-10-10T03:01:22Z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488ECCAC10CC48358DCF8801E7627CBF</vt:lpwstr>
  </property>
</Properties>
</file>