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0" w:leftChars="0" w:right="567" w:firstLine="0" w:firstLineChars="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</w:rPr>
        <w:t>南通市人事考试中心</w:t>
      </w:r>
    </w:p>
    <w:p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单位</w:t>
      </w:r>
      <w:r>
        <w:rPr>
          <w:rFonts w:ascii="仿宋" w:hAnsi="仿宋" w:eastAsia="仿宋" w:cs="仿宋"/>
          <w:b/>
          <w:sz w:val="44"/>
          <w:u w:color="auto"/>
        </w:rPr>
        <w:t>预算表</w:t>
      </w:r>
    </w:p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南通市人事考试中心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2,546.14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2,455.92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90.22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2,546.14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2,546.14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2,546.14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2,546.14</w:t>
            </w:r>
          </w:p>
        </w:tc>
      </w:tr>
    </w:tbl>
    <w:p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headerReference r:id="rId4" w:type="default"/>
          <w:footerReference r:id="rId5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2,546.14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2,546.14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2,546.14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066030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南通市人事考试中心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405.98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南通市人事考试中心</w:t>
            </w:r>
          </w:p>
        </w:tc>
        <w:tc>
          <w:tcPr>
            <w:tcW w:w="3899" w:type="dxa"/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</w:tr>
    </w:tbl>
    <w:p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1664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405.98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371.31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>
      <w:pPr>
        <w:rPr>
          <w:rFonts w:hint="eastAsia"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南通市人事考试中心</w:t>
            </w:r>
          </w:p>
        </w:tc>
        <w:tc>
          <w:tcPr>
            <w:tcW w:w="2057" w:type="dxa"/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405.98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371.31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363.49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363.49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40.81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24.78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40.98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4.30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13.50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4.68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4.68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1650" w:type="dxa"/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2,546.14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405.98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371.31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2,455.92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315.76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281.09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34.67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2,140.16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90.22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61.83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1673" w:type="dxa"/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405.98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371.31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363.49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363.49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111.21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40.81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24.78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40.98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4.30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13.50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4.68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4.68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>
            <w:pPr>
              <w:pStyle w:val="22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2.08</w:t>
            </w:r>
          </w:p>
        </w:tc>
      </w:tr>
    </w:tbl>
    <w:p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3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4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>
            <w:pPr>
              <w:pStyle w:val="22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单位无一般公共预算机关运行经费支出，故本表无数据。</w:t>
      </w:r>
    </w:p>
    <w:p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南通市人事考试中心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南通市人事考试中心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纸制品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南通市人事考试中心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车辆加油、添加燃料服务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</w:tbl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</w:pPr>
    </w:p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6" w:type="default"/>
          <w:pgSz w:w="16838" w:h="11906" w:orient="landscape"/>
          <w:pgMar w:top="1320" w:right="771" w:bottom="1320" w:left="77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40" w:leftChars="200" w:right="504" w:rightChars="229" w:firstLine="659" w:firstLineChars="206"/>
        <w:jc w:val="both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580" w:right="820" w:bottom="770" w:left="822" w:header="170" w:footer="2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2070409020205020404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euFb6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J9tssBAACdAwAADgAAAGRycy9lMm9Eb2MueG1srVPNjtMwEL4j8Q6W&#10;79RpWa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VN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Mpyfbb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/mAMsBAACdAwAADgAAAGRycy9lMm9Eb2MueG1srVPNjtMwEL4j8Q6W&#10;79Rp0aI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VN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B/5gD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B9vOgD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36fm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PXn8oBAACc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s&#10;VjdZoT5AjYn3AVPT8NYPuDezH9CZiQ8q2vxFSgTjqO/5qq8cEhH50Xq1XlcYEhibL4jPHp6HCOmd&#10;9JZko6ERB1h05acPkMbUOSVXc/5OG1OGaNxfDsTMHpZ7H3vMVhr2w0Ro79sz8ulx9g11uOqUmPcO&#10;pc1rMhtxNvazcQxRH7qyR7kehDfHhE2U3nKFEXYqjEMr7KYFy1vx+F6yHn6q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KPXn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E/N7n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f7gKsoBAACcAwAADgAAAGRycy9lMm9Eb2MueG1srVPNjtMwEL4j8Q6W&#10;79RpD6gb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s&#10;VjdZoT5AjYn3AVPT8NYPuDezH9CZiQ8q2vxFSgTjqO/5qq8cEhH50Xq1XlcYEhibL4jPHp6HCOmd&#10;9JZko6ERB1h05acPkMbUOSVXc/5OG1OGaNxfDsTMHpZ7H3vMVhr2w0Ro79sz8ulx9g11uOqUmPcO&#10;pc1rMhtxNvazcQxRH7qyR7kehDfHhE2U3nKFEXYqjEMr7KYFy1vx+F6yHn6q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2f7gK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U+CAckBAACdAwAADgAAAGRycy9lMm9Eb2MueG1srVNNrtMwEN4jcQfL&#10;e+q0SK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BY3ASVx3OLEL9+/XX78uvz8SpbV&#10;yyJRH6DGzIeAuWl44wdMz9JlP6AzMx9UtPmLnAjGEe18FVgOiYj8aL1arysMCYzNF8Rht+chQnor&#10;vSXZaGjECRZh+ek9pDF1TsnVnL/XxpQpGveXAzGzh916zFYa9sPU+N63Z+TT4/Ab6nDXKTHvHGqL&#10;/aXZiLOxn41jiPrQlUXK9SC8PiZsovSWK4ywU2GcWmE3bVheiz/vJev2V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hT4IB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tCGbf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FLFt8sBAACdAwAADgAAAGRycy9lMm9Eb2MueG1srVNLbtswEN0XyB0I&#10;7mPKKlA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BjehpMRygxM/f/92/vHr/PMr&#10;WRZvyyRR76HCzCePuXG4cwOmz35AZ2I+tMGkL3IiGEeBTxeB5RCJSI9W5WpVYEhgbL4gPnt+7gPE&#10;99IZkoyaBpxgFpYfHyGOqXNKqmbdvdI6T1HbvxyImTws9T72mKw47IaJ0M41J+TT4/BranHXKdEP&#10;FrVNezIbYTZ2s3HwQe27vEipHvjbQ8Qmcm+pwgg7FcapZXbThqW1+POes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PRSxbf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5fXg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000000" w:sz="4" w:space="1"/>
      </w:pBdr>
      <w:jc w:val="both"/>
      <w:rPr>
        <w:rFonts w:hint="default" w:eastAsia="Arial Unicode MS"/>
        <w:lang w:val="en-US" w:eastAsia="zh-CN"/>
      </w:rPr>
    </w:pPr>
    <w:r>
      <w:rPr>
        <w:rFonts w:hint="eastAsia"/>
        <w:lang w:val="en-US" w:eastAsia="zh-CN"/>
      </w:rPr>
      <w:t>南通市人事考试中心</w:t>
    </w:r>
    <w:r>
      <w:rPr>
        <w:u w:color="auto"/>
      </w:rPr>
      <w:t>2026年度单位预算公开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autoHyphenation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2M1Mjc3NWYxOGMwYzRlMDZiMDA1ZDZkZmE2M2QifQ=="/>
  </w:docVars>
  <w:rsids>
    <w:rsidRoot w:val="00000000"/>
    <w:rsid w:val="00064984"/>
    <w:rsid w:val="00071288"/>
    <w:rsid w:val="00071789"/>
    <w:rsid w:val="000F12AB"/>
    <w:rsid w:val="001C31F9"/>
    <w:rsid w:val="00407CA7"/>
    <w:rsid w:val="00413AD8"/>
    <w:rsid w:val="00671ED7"/>
    <w:rsid w:val="00672164"/>
    <w:rsid w:val="00867423"/>
    <w:rsid w:val="008B5B05"/>
    <w:rsid w:val="00925913"/>
    <w:rsid w:val="009965EA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40D5B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87438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94267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4B4F96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 w:firstLine="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 w:firstLine="0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 w:firstLine="0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 w:firstLine="0"/>
      <w:outlineLvl w:val="4"/>
    </w:pPr>
    <w:rPr>
      <w:sz w:val="33"/>
      <w:szCs w:val="33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List Paragraph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7931</Words>
  <Characters>9669</Characters>
  <Paragraphs>501</Paragraphs>
  <TotalTime>2</TotalTime>
  <ScaleCrop>false</ScaleCrop>
  <LinksUpToDate>false</LinksUpToDate>
  <CharactersWithSpaces>9842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2021-04-16T03:22:00Z</dcterms:created>
  <dc:creator>陈长军(本处室套红)</dc:creator>
  <cp:lastModifiedBy>36435</cp:lastModifiedBy>
  <dcterms:modified xsi:type="dcterms:W3CDTF">2026-02-11T01:22:55Z</dcterms:modified>
  <dc:title>部门预算公开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1E040BDA415B47F1BE82DAEFAF17EC4D</vt:lpwstr>
  </property>
  <property fmtid="{D5CDD505-2E9C-101B-9397-08002B2CF9AE}" pid="5" name="KSOProductBuildVer">
    <vt:lpwstr>2052-11.1.0.12165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eyJoZGlkIjoiODM5ZWJjZGI4ZjI3OTI1NThiNGI5MDJhMjg2MWRmMjIiLCJ1c2VySWQiOiIyNzcxMjA5MjIifQ==</vt:lpwstr>
  </property>
</Properties>
</file>